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240E" w14:textId="48A5DA08" w:rsidR="00392A14" w:rsidRDefault="00075AE7" w:rsidP="00075AE7">
      <w:pPr>
        <w:pStyle w:val="Heading1"/>
        <w:numPr>
          <w:ilvl w:val="0"/>
          <w:numId w:val="0"/>
        </w:numPr>
        <w:ind w:left="720" w:hanging="72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86070" wp14:editId="31546590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450024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09E1F" w14:textId="5218BC58" w:rsidR="00075AE7" w:rsidRPr="00075AE7" w:rsidRDefault="00075A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49980"/>
                                <w:sz w:val="32"/>
                                <w:szCs w:val="32"/>
                              </w:rPr>
                            </w:pPr>
                            <w:r w:rsidRPr="00075AE7">
                              <w:rPr>
                                <w:rFonts w:ascii="Arial" w:hAnsi="Arial" w:cs="Arial"/>
                                <w:b/>
                                <w:bCs/>
                                <w:color w:val="349980"/>
                                <w:sz w:val="32"/>
                                <w:szCs w:val="32"/>
                              </w:rPr>
                              <w:t>Evidencing how Music Education Hubs are becoming more inclusive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86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1pt;width:354.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PHIQ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" stroked="f">
                <v:textbox style="mso-fit-shape-to-text:t">
                  <w:txbxContent>
                    <w:p w14:paraId="0FE09E1F" w14:textId="5218BC58" w:rsidR="00075AE7" w:rsidRPr="00075AE7" w:rsidRDefault="00075AE7">
                      <w:pPr>
                        <w:rPr>
                          <w:rFonts w:ascii="Arial" w:hAnsi="Arial" w:cs="Arial"/>
                          <w:b/>
                          <w:bCs/>
                          <w:color w:val="349980"/>
                          <w:sz w:val="32"/>
                          <w:szCs w:val="32"/>
                        </w:rPr>
                      </w:pPr>
                      <w:r w:rsidRPr="00075AE7">
                        <w:rPr>
                          <w:rFonts w:ascii="Arial" w:hAnsi="Arial" w:cs="Arial"/>
                          <w:b/>
                          <w:bCs/>
                          <w:color w:val="349980"/>
                          <w:sz w:val="32"/>
                          <w:szCs w:val="32"/>
                        </w:rPr>
                        <w:t>Evidencing how Music Education Hubs are becoming more inclusive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A14">
        <w:rPr>
          <w:noProof/>
        </w:rPr>
        <w:drawing>
          <wp:inline distT="0" distB="0" distL="0" distR="0" wp14:anchorId="19BC775B" wp14:editId="74D40661">
            <wp:extent cx="1924050" cy="125043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lu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659" cy="12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202A" w14:textId="11BEFDB1" w:rsidR="00075AE7" w:rsidRPr="00075AE7" w:rsidRDefault="00075AE7" w:rsidP="00075AE7">
      <w:pPr>
        <w:rPr>
          <w:rFonts w:ascii="Arial" w:hAnsi="Arial" w:cs="Arial"/>
          <w:lang w:val="en-US"/>
        </w:rPr>
      </w:pPr>
      <w:r w:rsidRPr="00075AE7">
        <w:rPr>
          <w:rFonts w:ascii="Arial" w:hAnsi="Arial" w:cs="Arial"/>
          <w:lang w:val="en-US"/>
        </w:rPr>
        <w:t xml:space="preserve">The following indicators and evidence sources will help Music Education Hubs to track and evidence the </w:t>
      </w:r>
      <w:r w:rsidR="00732C80">
        <w:rPr>
          <w:rFonts w:ascii="Arial" w:hAnsi="Arial" w:cs="Arial"/>
          <w:lang w:val="en-US"/>
        </w:rPr>
        <w:t>ways</w:t>
      </w:r>
      <w:r w:rsidRPr="00075AE7">
        <w:rPr>
          <w:rFonts w:ascii="Arial" w:hAnsi="Arial" w:cs="Arial"/>
          <w:lang w:val="en-US"/>
        </w:rPr>
        <w:t xml:space="preserve"> in which they are becoming more inclusive.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392A14" w:rsidRPr="00075AE7" w14:paraId="6DE291E1" w14:textId="77777777" w:rsidTr="00075AE7">
        <w:trPr>
          <w:trHeight w:val="549"/>
        </w:trPr>
        <w:tc>
          <w:tcPr>
            <w:tcW w:w="4390" w:type="dxa"/>
          </w:tcPr>
          <w:p w14:paraId="2F64821F" w14:textId="39D06FF5" w:rsidR="00392A14" w:rsidRPr="00075AE7" w:rsidRDefault="00392A14" w:rsidP="00001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E7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6095" w:type="dxa"/>
          </w:tcPr>
          <w:p w14:paraId="3DE0A339" w14:textId="77777777" w:rsidR="00392A14" w:rsidRPr="00075AE7" w:rsidRDefault="00392A14" w:rsidP="00001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E7">
              <w:rPr>
                <w:rFonts w:ascii="Arial" w:hAnsi="Arial" w:cs="Arial"/>
                <w:b/>
                <w:sz w:val="24"/>
                <w:szCs w:val="24"/>
              </w:rPr>
              <w:t>Evidence sources</w:t>
            </w:r>
          </w:p>
        </w:tc>
      </w:tr>
      <w:tr w:rsidR="00075AE7" w:rsidRPr="0039071F" w14:paraId="20121B0D" w14:textId="77777777" w:rsidTr="00075AE7">
        <w:trPr>
          <w:trHeight w:val="426"/>
        </w:trPr>
        <w:tc>
          <w:tcPr>
            <w:tcW w:w="4390" w:type="dxa"/>
            <w:vMerge w:val="restart"/>
          </w:tcPr>
          <w:p w14:paraId="28034C37" w14:textId="77777777" w:rsidR="00075AE7" w:rsidRPr="0039071F" w:rsidRDefault="00075AE7" w:rsidP="000016C9">
            <w:pPr>
              <w:rPr>
                <w:rFonts w:ascii="Arial" w:hAnsi="Arial" w:cs="Arial"/>
                <w:i/>
                <w:iCs/>
              </w:rPr>
            </w:pPr>
            <w:r w:rsidRPr="0039071F">
              <w:rPr>
                <w:rFonts w:ascii="Arial" w:hAnsi="Arial" w:cs="Arial"/>
              </w:rPr>
              <w:t>The Music Education Hub sees musical inclusion as a priority</w:t>
            </w:r>
          </w:p>
        </w:tc>
        <w:tc>
          <w:tcPr>
            <w:tcW w:w="6095" w:type="dxa"/>
          </w:tcPr>
          <w:p w14:paraId="218FADFA" w14:textId="77777777" w:rsidR="00075AE7" w:rsidRPr="0039071F" w:rsidRDefault="00075AE7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Minutes of Hub meetings</w:t>
            </w:r>
          </w:p>
        </w:tc>
      </w:tr>
      <w:tr w:rsidR="00075AE7" w:rsidRPr="0039071F" w14:paraId="663DFC82" w14:textId="77777777" w:rsidTr="00075AE7">
        <w:trPr>
          <w:trHeight w:val="702"/>
        </w:trPr>
        <w:tc>
          <w:tcPr>
            <w:tcW w:w="4390" w:type="dxa"/>
            <w:vMerge/>
          </w:tcPr>
          <w:p w14:paraId="71A48348" w14:textId="77777777" w:rsidR="00075AE7" w:rsidRPr="0039071F" w:rsidRDefault="00075AE7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F4D5EE3" w14:textId="77777777" w:rsidR="00075AE7" w:rsidRPr="0039071F" w:rsidRDefault="00075AE7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Hub policy and strategy documents (e.g. business plan, inclusion strategies, fee remission policies)</w:t>
            </w:r>
          </w:p>
        </w:tc>
      </w:tr>
      <w:tr w:rsidR="00075AE7" w:rsidRPr="0039071F" w14:paraId="2609AC1D" w14:textId="77777777" w:rsidTr="00075AE7">
        <w:trPr>
          <w:trHeight w:val="556"/>
        </w:trPr>
        <w:tc>
          <w:tcPr>
            <w:tcW w:w="4390" w:type="dxa"/>
            <w:vMerge/>
          </w:tcPr>
          <w:p w14:paraId="730D0374" w14:textId="77777777" w:rsidR="00075AE7" w:rsidRPr="0039071F" w:rsidRDefault="00075AE7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54A7F7C" w14:textId="77777777" w:rsidR="00075AE7" w:rsidRPr="0039071F" w:rsidRDefault="00075AE7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Analysis of participant demographic data</w:t>
            </w:r>
          </w:p>
        </w:tc>
      </w:tr>
      <w:tr w:rsidR="00075AE7" w:rsidRPr="0039071F" w14:paraId="7ABA5508" w14:textId="77777777" w:rsidTr="00075AE7">
        <w:trPr>
          <w:trHeight w:val="692"/>
        </w:trPr>
        <w:tc>
          <w:tcPr>
            <w:tcW w:w="4390" w:type="dxa"/>
            <w:vMerge/>
          </w:tcPr>
          <w:p w14:paraId="3C123DDF" w14:textId="77777777" w:rsidR="00075AE7" w:rsidRPr="0039071F" w:rsidRDefault="00075AE7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2DC5BCC" w14:textId="13D18D26" w:rsidR="00075AE7" w:rsidRPr="0039071F" w:rsidRDefault="00075AE7" w:rsidP="0000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 of year-on-year budgets supporting inclusion activities</w:t>
            </w:r>
          </w:p>
        </w:tc>
      </w:tr>
      <w:tr w:rsidR="00392A14" w:rsidRPr="0039071F" w14:paraId="72C51400" w14:textId="77777777" w:rsidTr="00075AE7">
        <w:trPr>
          <w:trHeight w:val="701"/>
        </w:trPr>
        <w:tc>
          <w:tcPr>
            <w:tcW w:w="4390" w:type="dxa"/>
            <w:vMerge w:val="restart"/>
          </w:tcPr>
          <w:p w14:paraId="6645C062" w14:textId="77777777" w:rsidR="00392A14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There is an increase in the sustained engagement in music education of groups of young people who previously did not participate</w:t>
            </w:r>
          </w:p>
          <w:p w14:paraId="5C1C95DF" w14:textId="399362E5" w:rsidR="00075AE7" w:rsidRPr="0039071F" w:rsidRDefault="00075AE7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FAE74D6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Participation records, enabling comparison with previous participation levels</w:t>
            </w:r>
          </w:p>
        </w:tc>
      </w:tr>
      <w:tr w:rsidR="00392A14" w:rsidRPr="0039071F" w14:paraId="1E9B4D59" w14:textId="77777777" w:rsidTr="00392A14">
        <w:trPr>
          <w:trHeight w:val="268"/>
        </w:trPr>
        <w:tc>
          <w:tcPr>
            <w:tcW w:w="4390" w:type="dxa"/>
            <w:vMerge/>
          </w:tcPr>
          <w:p w14:paraId="0D9D312D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6274317C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Feedback from tutors and Hub partners</w:t>
            </w:r>
          </w:p>
        </w:tc>
      </w:tr>
      <w:tr w:rsidR="00392A14" w:rsidRPr="0039071F" w14:paraId="506C8D13" w14:textId="77777777" w:rsidTr="00392A14">
        <w:trPr>
          <w:trHeight w:val="630"/>
        </w:trPr>
        <w:tc>
          <w:tcPr>
            <w:tcW w:w="4390" w:type="dxa"/>
            <w:vMerge w:val="restart"/>
          </w:tcPr>
          <w:p w14:paraId="46DB3C73" w14:textId="77777777" w:rsidR="00392A14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The Music Education Hub provides a greater range of accessible music making opportunities (e.g. accessible locations (including online), transport provided, cost barriers removed, inclusive ensembles etc.)</w:t>
            </w:r>
          </w:p>
          <w:p w14:paraId="46F30701" w14:textId="33510936" w:rsidR="00075AE7" w:rsidRPr="0039071F" w:rsidRDefault="00075AE7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46089A0" w14:textId="77777777" w:rsidR="00392A14" w:rsidRPr="0039071F" w:rsidRDefault="00392A14" w:rsidP="000016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9071F">
              <w:rPr>
                <w:rFonts w:ascii="Arial" w:hAnsi="Arial" w:cs="Arial"/>
              </w:rPr>
              <w:t>Schedules of Hub activities, enabling comparison with previous provision</w:t>
            </w:r>
            <w:r w:rsidRPr="0039071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68CBE47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</w:tr>
      <w:tr w:rsidR="00392A14" w:rsidRPr="0039071F" w14:paraId="2A4ED452" w14:textId="77777777" w:rsidTr="00392A14">
        <w:trPr>
          <w:trHeight w:val="529"/>
        </w:trPr>
        <w:tc>
          <w:tcPr>
            <w:tcW w:w="4390" w:type="dxa"/>
            <w:vMerge/>
          </w:tcPr>
          <w:p w14:paraId="6F6CDF3A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EBC9F4B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Feedback from teachers and Hub partners</w:t>
            </w:r>
          </w:p>
          <w:p w14:paraId="6537D763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</w:tr>
      <w:tr w:rsidR="00392A14" w:rsidRPr="0039071F" w14:paraId="75FC2ED5" w14:textId="77777777" w:rsidTr="00392A14">
        <w:trPr>
          <w:trHeight w:val="692"/>
        </w:trPr>
        <w:tc>
          <w:tcPr>
            <w:tcW w:w="4390" w:type="dxa"/>
            <w:vMerge w:val="restart"/>
          </w:tcPr>
          <w:p w14:paraId="2D342216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The Music Education Hub provides a greater range of diverse music making opportunities</w:t>
            </w:r>
          </w:p>
          <w:p w14:paraId="440C66BB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ACDEB60" w14:textId="77777777" w:rsidR="00392A14" w:rsidRPr="0039071F" w:rsidRDefault="00392A14" w:rsidP="000016C9">
            <w:pPr>
              <w:rPr>
                <w:rFonts w:ascii="Arial" w:hAnsi="Arial" w:cs="Arial"/>
                <w:i/>
                <w:iCs/>
              </w:rPr>
            </w:pPr>
            <w:r w:rsidRPr="0039071F">
              <w:rPr>
                <w:rFonts w:ascii="Arial" w:hAnsi="Arial" w:cs="Arial"/>
              </w:rPr>
              <w:t>Schedules of Hub activities, enabling comparison with previous provision</w:t>
            </w:r>
          </w:p>
          <w:p w14:paraId="38CB9ABE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</w:tr>
      <w:tr w:rsidR="00392A14" w:rsidRPr="0039071F" w14:paraId="0E6A204E" w14:textId="77777777" w:rsidTr="00392A14">
        <w:trPr>
          <w:trHeight w:val="448"/>
        </w:trPr>
        <w:tc>
          <w:tcPr>
            <w:tcW w:w="4390" w:type="dxa"/>
            <w:vMerge/>
          </w:tcPr>
          <w:p w14:paraId="669D89FA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4C32B8A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Feedback from teachers and Hub partners</w:t>
            </w:r>
          </w:p>
        </w:tc>
      </w:tr>
      <w:tr w:rsidR="00392A14" w:rsidRPr="0039071F" w14:paraId="3265A46B" w14:textId="77777777" w:rsidTr="00075AE7">
        <w:trPr>
          <w:trHeight w:val="536"/>
        </w:trPr>
        <w:tc>
          <w:tcPr>
            <w:tcW w:w="4390" w:type="dxa"/>
            <w:vMerge w:val="restart"/>
          </w:tcPr>
          <w:p w14:paraId="18661BA4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The Music Education Hub provides new progression routes for children and young people which give opportunities to move between activities and organisations</w:t>
            </w:r>
          </w:p>
        </w:tc>
        <w:tc>
          <w:tcPr>
            <w:tcW w:w="6095" w:type="dxa"/>
          </w:tcPr>
          <w:p w14:paraId="203F2B1C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Minutes of Hub meetings</w:t>
            </w:r>
          </w:p>
        </w:tc>
      </w:tr>
      <w:tr w:rsidR="00392A14" w:rsidRPr="0039071F" w14:paraId="350158D1" w14:textId="77777777" w:rsidTr="00075AE7">
        <w:trPr>
          <w:trHeight w:val="686"/>
        </w:trPr>
        <w:tc>
          <w:tcPr>
            <w:tcW w:w="4390" w:type="dxa"/>
            <w:vMerge/>
          </w:tcPr>
          <w:p w14:paraId="00616F26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4F1A2DA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 xml:space="preserve">Agreements with Hub partners and other music education providers </w:t>
            </w:r>
          </w:p>
        </w:tc>
      </w:tr>
      <w:tr w:rsidR="00392A14" w:rsidRPr="0039071F" w14:paraId="54EF88F4" w14:textId="77777777" w:rsidTr="00075AE7">
        <w:trPr>
          <w:trHeight w:val="568"/>
        </w:trPr>
        <w:tc>
          <w:tcPr>
            <w:tcW w:w="4390" w:type="dxa"/>
            <w:vMerge/>
          </w:tcPr>
          <w:p w14:paraId="0FB92711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D1C622F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 xml:space="preserve">Feedback from teachers and Hub partners </w:t>
            </w:r>
          </w:p>
        </w:tc>
      </w:tr>
      <w:tr w:rsidR="00392A14" w:rsidRPr="0039071F" w14:paraId="66D18157" w14:textId="77777777" w:rsidTr="00075AE7">
        <w:trPr>
          <w:trHeight w:val="845"/>
        </w:trPr>
        <w:tc>
          <w:tcPr>
            <w:tcW w:w="4390" w:type="dxa"/>
            <w:vMerge w:val="restart"/>
          </w:tcPr>
          <w:p w14:paraId="0465D75B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The Hub lead organisation and key staff have an increased understanding of inclusion and are better able to support it</w:t>
            </w:r>
          </w:p>
        </w:tc>
        <w:tc>
          <w:tcPr>
            <w:tcW w:w="6095" w:type="dxa"/>
          </w:tcPr>
          <w:p w14:paraId="520361F3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Self assessment by key staff and management of Hub lead organisation</w:t>
            </w:r>
          </w:p>
        </w:tc>
      </w:tr>
      <w:tr w:rsidR="00392A14" w:rsidRPr="0039071F" w14:paraId="62C321CB" w14:textId="77777777" w:rsidTr="00392A14">
        <w:trPr>
          <w:trHeight w:val="547"/>
        </w:trPr>
        <w:tc>
          <w:tcPr>
            <w:tcW w:w="4390" w:type="dxa"/>
            <w:vMerge/>
          </w:tcPr>
          <w:p w14:paraId="0E5BCD30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2DB5119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Feedback from inclusion partner(s)</w:t>
            </w:r>
          </w:p>
        </w:tc>
      </w:tr>
      <w:tr w:rsidR="00392A14" w:rsidRPr="0039071F" w14:paraId="4B4BAEAE" w14:textId="77777777" w:rsidTr="00075AE7">
        <w:trPr>
          <w:trHeight w:val="709"/>
        </w:trPr>
        <w:tc>
          <w:tcPr>
            <w:tcW w:w="4390" w:type="dxa"/>
            <w:vMerge w:val="restart"/>
          </w:tcPr>
          <w:p w14:paraId="72F4505E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 xml:space="preserve">Inclusive practice is embedded in the Hub’s delivery </w:t>
            </w:r>
            <w:r>
              <w:rPr>
                <w:rFonts w:ascii="Arial" w:hAnsi="Arial" w:cs="Arial"/>
              </w:rPr>
              <w:t>work</w:t>
            </w:r>
          </w:p>
        </w:tc>
        <w:tc>
          <w:tcPr>
            <w:tcW w:w="6095" w:type="dxa"/>
          </w:tcPr>
          <w:p w14:paraId="21BC2E5F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Hub procedural documents e.g. job descriptions, lesson plans</w:t>
            </w:r>
            <w:r>
              <w:rPr>
                <w:rFonts w:ascii="Arial" w:hAnsi="Arial" w:cs="Arial"/>
              </w:rPr>
              <w:t>, appraisal documents</w:t>
            </w:r>
            <w:r w:rsidRPr="0039071F">
              <w:rPr>
                <w:rFonts w:ascii="Arial" w:hAnsi="Arial" w:cs="Arial"/>
              </w:rPr>
              <w:t xml:space="preserve">. </w:t>
            </w:r>
          </w:p>
        </w:tc>
      </w:tr>
      <w:tr w:rsidR="00392A14" w:rsidRPr="0039071F" w14:paraId="12707911" w14:textId="77777777" w:rsidTr="00392A14">
        <w:trPr>
          <w:trHeight w:val="816"/>
        </w:trPr>
        <w:tc>
          <w:tcPr>
            <w:tcW w:w="4390" w:type="dxa"/>
            <w:vMerge/>
          </w:tcPr>
          <w:p w14:paraId="31791D95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E70A4D7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Hub quality assurance documents, e.g. quality framework, practice observation records.</w:t>
            </w:r>
          </w:p>
        </w:tc>
      </w:tr>
    </w:tbl>
    <w:p w14:paraId="18CF59CB" w14:textId="77777777" w:rsidR="00075AE7" w:rsidRDefault="00075AE7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075AE7" w:rsidRPr="00075AE7" w14:paraId="3512D6AC" w14:textId="77777777" w:rsidTr="00075AE7">
        <w:trPr>
          <w:trHeight w:val="557"/>
        </w:trPr>
        <w:tc>
          <w:tcPr>
            <w:tcW w:w="4390" w:type="dxa"/>
          </w:tcPr>
          <w:p w14:paraId="7EF9DB0D" w14:textId="77777777" w:rsidR="00075AE7" w:rsidRPr="00075AE7" w:rsidRDefault="00075AE7" w:rsidP="00126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E7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Indicator</w:t>
            </w:r>
          </w:p>
        </w:tc>
        <w:tc>
          <w:tcPr>
            <w:tcW w:w="6095" w:type="dxa"/>
          </w:tcPr>
          <w:p w14:paraId="52557FC0" w14:textId="77777777" w:rsidR="00075AE7" w:rsidRPr="00075AE7" w:rsidRDefault="00075AE7" w:rsidP="00126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E7">
              <w:rPr>
                <w:rFonts w:ascii="Arial" w:hAnsi="Arial" w:cs="Arial"/>
                <w:b/>
                <w:sz w:val="24"/>
                <w:szCs w:val="24"/>
              </w:rPr>
              <w:t>Evidence sources</w:t>
            </w:r>
          </w:p>
        </w:tc>
      </w:tr>
      <w:tr w:rsidR="00392A14" w:rsidRPr="0039071F" w14:paraId="1AEBE006" w14:textId="77777777" w:rsidTr="00732C80">
        <w:trPr>
          <w:trHeight w:val="417"/>
        </w:trPr>
        <w:tc>
          <w:tcPr>
            <w:tcW w:w="4390" w:type="dxa"/>
            <w:vMerge w:val="restart"/>
          </w:tcPr>
          <w:p w14:paraId="7FE1340C" w14:textId="2C49730C" w:rsidR="00392A14" w:rsidRPr="0039071F" w:rsidRDefault="00392A14" w:rsidP="0000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Inclusive practice is embedded in the Hub’s CPD offer</w:t>
            </w:r>
          </w:p>
        </w:tc>
        <w:tc>
          <w:tcPr>
            <w:tcW w:w="6095" w:type="dxa"/>
          </w:tcPr>
          <w:p w14:paraId="7D96BD5F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 records</w:t>
            </w:r>
          </w:p>
        </w:tc>
      </w:tr>
      <w:tr w:rsidR="00392A14" w:rsidRPr="0039071F" w14:paraId="05B34AA9" w14:textId="77777777" w:rsidTr="00732C80">
        <w:trPr>
          <w:trHeight w:val="408"/>
        </w:trPr>
        <w:tc>
          <w:tcPr>
            <w:tcW w:w="4390" w:type="dxa"/>
            <w:vMerge/>
          </w:tcPr>
          <w:p w14:paraId="65FDF90E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B4874BD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CPD schedule of activity</w:t>
            </w:r>
          </w:p>
        </w:tc>
      </w:tr>
      <w:tr w:rsidR="00392A14" w:rsidRPr="0039071F" w14:paraId="61D15E48" w14:textId="77777777" w:rsidTr="00732C80">
        <w:trPr>
          <w:trHeight w:val="414"/>
        </w:trPr>
        <w:tc>
          <w:tcPr>
            <w:tcW w:w="4390" w:type="dxa"/>
            <w:vMerge w:val="restart"/>
          </w:tcPr>
          <w:p w14:paraId="4A43DA42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 xml:space="preserve">Increasing representation within workforce </w:t>
            </w:r>
            <w:r>
              <w:rPr>
                <w:rFonts w:ascii="Arial" w:hAnsi="Arial" w:cs="Arial"/>
              </w:rPr>
              <w:t>and/or</w:t>
            </w:r>
            <w:r w:rsidRPr="0039071F">
              <w:rPr>
                <w:rFonts w:ascii="Arial" w:hAnsi="Arial" w:cs="Arial"/>
              </w:rPr>
              <w:t xml:space="preserve"> governance of groups that experience </w:t>
            </w:r>
            <w:r>
              <w:rPr>
                <w:rFonts w:ascii="Arial" w:hAnsi="Arial" w:cs="Arial"/>
              </w:rPr>
              <w:t xml:space="preserve">or support </w:t>
            </w:r>
            <w:r w:rsidRPr="0039071F">
              <w:rPr>
                <w:rFonts w:ascii="Arial" w:hAnsi="Arial" w:cs="Arial"/>
              </w:rPr>
              <w:t>exclusion</w:t>
            </w:r>
          </w:p>
        </w:tc>
        <w:tc>
          <w:tcPr>
            <w:tcW w:w="6095" w:type="dxa"/>
          </w:tcPr>
          <w:p w14:paraId="2818FDE7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Business plan</w:t>
            </w:r>
          </w:p>
        </w:tc>
      </w:tr>
      <w:tr w:rsidR="00392A14" w:rsidRPr="0039071F" w14:paraId="3DEB58B3" w14:textId="77777777" w:rsidTr="00732C80">
        <w:trPr>
          <w:trHeight w:val="405"/>
        </w:trPr>
        <w:tc>
          <w:tcPr>
            <w:tcW w:w="4390" w:type="dxa"/>
            <w:vMerge/>
          </w:tcPr>
          <w:p w14:paraId="381AE86B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B5318CD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List of hub partners, enabling comparison with previous</w:t>
            </w:r>
          </w:p>
        </w:tc>
      </w:tr>
      <w:tr w:rsidR="00392A14" w:rsidRPr="0039071F" w14:paraId="4546BFFC" w14:textId="77777777" w:rsidTr="00732C80">
        <w:trPr>
          <w:trHeight w:val="568"/>
        </w:trPr>
        <w:tc>
          <w:tcPr>
            <w:tcW w:w="4390" w:type="dxa"/>
            <w:vMerge/>
          </w:tcPr>
          <w:p w14:paraId="08B697FB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FF14090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Annual analysis of workforce demographics</w:t>
            </w:r>
          </w:p>
        </w:tc>
      </w:tr>
      <w:tr w:rsidR="00392A14" w:rsidRPr="0039071F" w14:paraId="57B4AA9F" w14:textId="77777777" w:rsidTr="00732C80">
        <w:trPr>
          <w:trHeight w:val="420"/>
        </w:trPr>
        <w:tc>
          <w:tcPr>
            <w:tcW w:w="4390" w:type="dxa"/>
            <w:vMerge w:val="restart"/>
          </w:tcPr>
          <w:p w14:paraId="4640010F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 xml:space="preserve">Increasing representation within </w:t>
            </w:r>
            <w:r>
              <w:rPr>
                <w:rFonts w:ascii="Arial" w:hAnsi="Arial" w:cs="Arial"/>
              </w:rPr>
              <w:t>partnerships</w:t>
            </w:r>
            <w:r w:rsidRPr="0039071F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people or organisations that support inclusion</w:t>
            </w:r>
          </w:p>
        </w:tc>
        <w:tc>
          <w:tcPr>
            <w:tcW w:w="6095" w:type="dxa"/>
          </w:tcPr>
          <w:p w14:paraId="2075867A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 agreements</w:t>
            </w:r>
          </w:p>
        </w:tc>
      </w:tr>
      <w:tr w:rsidR="00392A14" w:rsidRPr="0039071F" w14:paraId="58C75ED0" w14:textId="77777777" w:rsidTr="00732C80">
        <w:trPr>
          <w:trHeight w:val="554"/>
        </w:trPr>
        <w:tc>
          <w:tcPr>
            <w:tcW w:w="4390" w:type="dxa"/>
            <w:vMerge/>
          </w:tcPr>
          <w:p w14:paraId="4902675C" w14:textId="77777777" w:rsidR="00392A14" w:rsidRPr="0039071F" w:rsidRDefault="00392A14" w:rsidP="000016C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C4406D7" w14:textId="77777777" w:rsidR="00392A14" w:rsidRPr="0039071F" w:rsidRDefault="00392A14" w:rsidP="0000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hub partners, enabling comparison with previous</w:t>
            </w:r>
          </w:p>
        </w:tc>
      </w:tr>
      <w:tr w:rsidR="00392A14" w:rsidRPr="0039071F" w14:paraId="059408E9" w14:textId="77777777" w:rsidTr="00732C80">
        <w:trPr>
          <w:trHeight w:val="703"/>
        </w:trPr>
        <w:tc>
          <w:tcPr>
            <w:tcW w:w="4390" w:type="dxa"/>
            <w:vMerge w:val="restart"/>
          </w:tcPr>
          <w:p w14:paraId="738D4360" w14:textId="77777777" w:rsidR="00392A14" w:rsidRPr="00052710" w:rsidRDefault="00392A14" w:rsidP="000016C9">
            <w:pPr>
              <w:rPr>
                <w:rFonts w:ascii="Arial" w:hAnsi="Arial" w:cs="Arial"/>
              </w:rPr>
            </w:pPr>
            <w:r w:rsidRPr="00052710">
              <w:rPr>
                <w:rFonts w:ascii="Arial" w:hAnsi="Arial" w:cs="Arial"/>
              </w:rPr>
              <w:t>Higher numbers and diversity of young people involved in youth voice and participation activities</w:t>
            </w:r>
          </w:p>
        </w:tc>
        <w:tc>
          <w:tcPr>
            <w:tcW w:w="6095" w:type="dxa"/>
          </w:tcPr>
          <w:p w14:paraId="0D5EB6B5" w14:textId="77777777" w:rsidR="00392A14" w:rsidRDefault="00392A14" w:rsidP="000016C9">
            <w:pPr>
              <w:rPr>
                <w:rFonts w:ascii="Arial" w:hAnsi="Arial" w:cs="Arial"/>
              </w:rPr>
            </w:pPr>
            <w:r w:rsidRPr="0039071F">
              <w:rPr>
                <w:rFonts w:ascii="Arial" w:hAnsi="Arial" w:cs="Arial"/>
              </w:rPr>
              <w:t>Participation records, enabling comparison with previous participation levels</w:t>
            </w:r>
          </w:p>
        </w:tc>
      </w:tr>
      <w:tr w:rsidR="00392A14" w:rsidRPr="0039071F" w14:paraId="305B09D4" w14:textId="77777777" w:rsidTr="00732C80">
        <w:trPr>
          <w:trHeight w:val="699"/>
        </w:trPr>
        <w:tc>
          <w:tcPr>
            <w:tcW w:w="4390" w:type="dxa"/>
            <w:vMerge/>
          </w:tcPr>
          <w:p w14:paraId="1B268D3E" w14:textId="77777777" w:rsidR="00392A14" w:rsidRPr="001F1A6A" w:rsidRDefault="00392A14" w:rsidP="000016C9"/>
        </w:tc>
        <w:tc>
          <w:tcPr>
            <w:tcW w:w="6095" w:type="dxa"/>
          </w:tcPr>
          <w:p w14:paraId="310538A6" w14:textId="77777777" w:rsidR="00392A14" w:rsidRDefault="00392A14" w:rsidP="0000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annual youth voice and participation activity, enabling comparison with previous year</w:t>
            </w:r>
          </w:p>
        </w:tc>
      </w:tr>
    </w:tbl>
    <w:p w14:paraId="405BECEA" w14:textId="77777777" w:rsidR="00236615" w:rsidRDefault="00236615"/>
    <w:sectPr w:rsidR="00236615" w:rsidSect="00392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D3F39"/>
    <w:multiLevelType w:val="multilevel"/>
    <w:tmpl w:val="2D8CC0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14"/>
    <w:rsid w:val="00075AE7"/>
    <w:rsid w:val="00236615"/>
    <w:rsid w:val="00392A14"/>
    <w:rsid w:val="00503D13"/>
    <w:rsid w:val="00732C80"/>
    <w:rsid w:val="009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2E56"/>
  <w15:chartTrackingRefBased/>
  <w15:docId w15:val="{EFFD1B8D-C528-427A-97D0-65644C73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A14"/>
  </w:style>
  <w:style w:type="paragraph" w:styleId="Heading1">
    <w:name w:val="heading 1"/>
    <w:basedOn w:val="Normal"/>
    <w:next w:val="Normal"/>
    <w:link w:val="Heading1Char"/>
    <w:uiPriority w:val="9"/>
    <w:qFormat/>
    <w:rsid w:val="00392A14"/>
    <w:pPr>
      <w:keepNext/>
      <w:numPr>
        <w:numId w:val="1"/>
      </w:numPr>
      <w:spacing w:before="240" w:after="60" w:line="240" w:lineRule="auto"/>
      <w:outlineLvl w:val="0"/>
    </w:pPr>
    <w:rPr>
      <w:rFonts w:ascii="Arial" w:eastAsiaTheme="majorEastAsia" w:hAnsi="Arial" w:cs="Arial"/>
      <w:b/>
      <w:bCs/>
      <w:color w:val="349980"/>
      <w:kern w:val="32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A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A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A14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92A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A14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A14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A14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A14"/>
    <w:rPr>
      <w:rFonts w:ascii="Arial" w:eastAsiaTheme="majorEastAsia" w:hAnsi="Arial" w:cs="Arial"/>
      <w:b/>
      <w:bCs/>
      <w:color w:val="349980"/>
      <w:kern w:val="3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A1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A1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A1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92A1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A1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A1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A14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39"/>
    <w:rsid w:val="0039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Reid</dc:creator>
  <cp:keywords/>
  <dc:description/>
  <cp:lastModifiedBy>Phoebe Cross</cp:lastModifiedBy>
  <cp:revision>2</cp:revision>
  <dcterms:created xsi:type="dcterms:W3CDTF">2020-07-22T17:21:00Z</dcterms:created>
  <dcterms:modified xsi:type="dcterms:W3CDTF">2020-07-22T17:21:00Z</dcterms:modified>
</cp:coreProperties>
</file>