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11C" w14:textId="266ADA79" w:rsidR="008E11C8" w:rsidRDefault="008E11C8" w:rsidP="00F64945">
      <w:pPr>
        <w:pStyle w:val="Title"/>
        <w:jc w:val="center"/>
        <w:rPr>
          <w:lang w:val="en-GB"/>
        </w:rPr>
      </w:pPr>
      <w:r>
        <w:rPr>
          <w:noProof/>
          <w:lang w:val="en-GB"/>
        </w:rPr>
        <w:drawing>
          <wp:inline distT="0" distB="0" distL="0" distR="0" wp14:anchorId="1CE37BB0" wp14:editId="23687BF8">
            <wp:extent cx="1722876" cy="109336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379" cy="1108279"/>
                    </a:xfrm>
                    <a:prstGeom prst="rect">
                      <a:avLst/>
                    </a:prstGeom>
                  </pic:spPr>
                </pic:pic>
              </a:graphicData>
            </a:graphic>
          </wp:inline>
        </w:drawing>
      </w:r>
    </w:p>
    <w:p w14:paraId="0051559C" w14:textId="63D8BFD7" w:rsidR="00252135" w:rsidRPr="00B1643E" w:rsidRDefault="00FE4EAA" w:rsidP="00B1643E">
      <w:pPr>
        <w:pStyle w:val="Title"/>
        <w:rPr>
          <w:rFonts w:ascii="Montserrat" w:hAnsi="Montserrat"/>
          <w:b/>
          <w:bCs/>
          <w:lang w:val="en-GB"/>
        </w:rPr>
      </w:pPr>
      <w:r w:rsidRPr="00F64945">
        <w:rPr>
          <w:rFonts w:ascii="Montserrat" w:hAnsi="Montserrat"/>
          <w:b/>
          <w:bCs/>
          <w:lang w:val="en-GB"/>
        </w:rPr>
        <w:t>Quality Framework (QF) - Online Sessions</w:t>
      </w:r>
    </w:p>
    <w:p w14:paraId="2732186F" w14:textId="77777777" w:rsidR="00F64945" w:rsidRDefault="0080705F" w:rsidP="00F64945">
      <w:pPr>
        <w:pStyle w:val="Heading1"/>
        <w:rPr>
          <w:noProof/>
        </w:rPr>
      </w:pPr>
      <w:bookmarkStart w:id="0" w:name="_7fbp84fhvi9g" w:colFirst="0" w:colLast="0"/>
      <w:bookmarkStart w:id="1" w:name="_Toc72855468"/>
      <w:bookmarkEnd w:id="0"/>
      <w:r>
        <w:rPr>
          <w:lang w:val="en-GB"/>
        </w:rPr>
        <w:t>Contents</w:t>
      </w:r>
      <w:bookmarkStart w:id="2" w:name="_Toc70436285"/>
      <w:bookmarkEnd w:id="1"/>
      <w:r w:rsidR="00F64945" w:rsidRPr="00F64945">
        <w:rPr>
          <w:lang w:val="en-GB"/>
        </w:rPr>
        <w:fldChar w:fldCharType="begin"/>
      </w:r>
      <w:r w:rsidR="00F64945" w:rsidRPr="00F64945">
        <w:rPr>
          <w:lang w:val="en-GB"/>
        </w:rPr>
        <w:instrText xml:space="preserve"> TOC \o "1-2" \h \z \u </w:instrText>
      </w:r>
      <w:r w:rsidR="00F64945" w:rsidRPr="00F64945">
        <w:rPr>
          <w:lang w:val="en-GB"/>
        </w:rPr>
        <w:fldChar w:fldCharType="separate"/>
      </w:r>
    </w:p>
    <w:p w14:paraId="7F498069" w14:textId="3D14B1F9" w:rsidR="00F64945" w:rsidRPr="00B1643E" w:rsidRDefault="00235A8D" w:rsidP="00F64945">
      <w:pPr>
        <w:pStyle w:val="TOC1"/>
        <w:rPr>
          <w:rFonts w:ascii="Open Sans" w:eastAsiaTheme="minorEastAsia" w:hAnsi="Open Sans"/>
          <w:noProof/>
          <w:lang w:val="en-GB"/>
        </w:rPr>
      </w:pPr>
      <w:hyperlink w:anchor="_Toc72855469" w:history="1">
        <w:r w:rsidR="00F64945" w:rsidRPr="00B1643E">
          <w:rPr>
            <w:rStyle w:val="Hyperlink"/>
            <w:rFonts w:ascii="Open Sans" w:hAnsi="Open Sans"/>
            <w:noProof/>
          </w:rPr>
          <w:t>Why have we created a new version of the Quality Framework for online sessions?</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_Toc72855469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2</w:t>
        </w:r>
        <w:r w:rsidR="00F64945" w:rsidRPr="00B1643E">
          <w:rPr>
            <w:rFonts w:ascii="Open Sans" w:hAnsi="Open Sans"/>
            <w:noProof/>
            <w:webHidden/>
          </w:rPr>
          <w:fldChar w:fldCharType="end"/>
        </w:r>
      </w:hyperlink>
    </w:p>
    <w:p w14:paraId="41D02B6A" w14:textId="3BCADF4A" w:rsidR="00F64945" w:rsidRPr="00B1643E" w:rsidRDefault="00235A8D" w:rsidP="00F64945">
      <w:pPr>
        <w:pStyle w:val="TOC1"/>
        <w:rPr>
          <w:rFonts w:ascii="Open Sans" w:eastAsiaTheme="minorEastAsia" w:hAnsi="Open Sans"/>
          <w:noProof/>
          <w:lang w:val="en-GB"/>
        </w:rPr>
      </w:pPr>
      <w:hyperlink w:anchor="_Toc72855470" w:history="1">
        <w:r w:rsidR="00F64945" w:rsidRPr="00B1643E">
          <w:rPr>
            <w:rStyle w:val="Hyperlink"/>
            <w:rFonts w:ascii="Open Sans" w:hAnsi="Open Sans"/>
            <w:noProof/>
          </w:rPr>
          <w:t>Quality Framework criteria summary</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_Toc72855470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3</w:t>
        </w:r>
        <w:r w:rsidR="00F64945" w:rsidRPr="00B1643E">
          <w:rPr>
            <w:rFonts w:ascii="Open Sans" w:hAnsi="Open Sans"/>
            <w:noProof/>
            <w:webHidden/>
          </w:rPr>
          <w:fldChar w:fldCharType="end"/>
        </w:r>
      </w:hyperlink>
    </w:p>
    <w:p w14:paraId="6A1E514E" w14:textId="17EE6E55"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1" w:history="1">
        <w:r w:rsidR="00F64945" w:rsidRPr="00B1643E">
          <w:rPr>
            <w:rStyle w:val="Hyperlink"/>
            <w:rFonts w:ascii="Open Sans" w:hAnsi="Open Sans"/>
            <w:noProof/>
          </w:rPr>
          <w:t>Part 1: Organisational responsibilities criteria summary</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_Toc72855471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3</w:t>
        </w:r>
        <w:r w:rsidR="00F64945" w:rsidRPr="00B1643E">
          <w:rPr>
            <w:rFonts w:ascii="Open Sans" w:hAnsi="Open Sans"/>
            <w:noProof/>
            <w:webHidden/>
          </w:rPr>
          <w:fldChar w:fldCharType="end"/>
        </w:r>
      </w:hyperlink>
    </w:p>
    <w:p w14:paraId="28220856" w14:textId="20FA5959"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2" w:history="1">
        <w:r w:rsidR="00F64945" w:rsidRPr="00B1643E">
          <w:rPr>
            <w:rStyle w:val="Hyperlink"/>
            <w:rFonts w:ascii="Open Sans" w:hAnsi="Open Sans"/>
            <w:noProof/>
          </w:rPr>
          <w:t>Part 2: Session criteria summary</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_Toc72855472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5</w:t>
        </w:r>
        <w:r w:rsidR="00F64945" w:rsidRPr="00B1643E">
          <w:rPr>
            <w:rFonts w:ascii="Open Sans" w:hAnsi="Open Sans"/>
            <w:noProof/>
            <w:webHidden/>
          </w:rPr>
          <w:fldChar w:fldCharType="end"/>
        </w:r>
      </w:hyperlink>
    </w:p>
    <w:p w14:paraId="3CA68D68" w14:textId="73C29443" w:rsidR="00F64945" w:rsidRPr="00B1643E" w:rsidRDefault="00235A8D" w:rsidP="00F64945">
      <w:pPr>
        <w:pStyle w:val="TOC1"/>
        <w:rPr>
          <w:rFonts w:ascii="Open Sans" w:eastAsiaTheme="minorEastAsia" w:hAnsi="Open Sans"/>
          <w:noProof/>
          <w:lang w:val="en-GB"/>
        </w:rPr>
      </w:pPr>
      <w:hyperlink w:anchor="_Toc72855473" w:history="1">
        <w:r w:rsidR="00F64945" w:rsidRPr="00B1643E">
          <w:rPr>
            <w:rStyle w:val="Hyperlink"/>
            <w:rFonts w:ascii="Open Sans" w:hAnsi="Open Sans"/>
            <w:noProof/>
            <w:lang w:val="en-GB"/>
          </w:rPr>
          <w:t>Part 1: Organisational responsibilities criteria</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_Toc72855473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7</w:t>
        </w:r>
        <w:r w:rsidR="00F64945" w:rsidRPr="00B1643E">
          <w:rPr>
            <w:rFonts w:ascii="Open Sans" w:hAnsi="Open Sans"/>
            <w:noProof/>
            <w:webHidden/>
          </w:rPr>
          <w:fldChar w:fldCharType="end"/>
        </w:r>
      </w:hyperlink>
    </w:p>
    <w:p w14:paraId="5C8B912B" w14:textId="50C22D63"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4" w:history="1">
        <w:r w:rsidR="00F64945" w:rsidRPr="00B1643E">
          <w:rPr>
            <w:rStyle w:val="Hyperlink"/>
            <w:rFonts w:ascii="Open Sans" w:hAnsi="Open Sans"/>
            <w:noProof/>
          </w:rPr>
          <w:t>Health and safety of all</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_Toc72855474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7</w:t>
        </w:r>
        <w:r w:rsidR="00F64945" w:rsidRPr="00B1643E">
          <w:rPr>
            <w:rFonts w:ascii="Open Sans" w:hAnsi="Open Sans"/>
            <w:noProof/>
            <w:webHidden/>
          </w:rPr>
          <w:fldChar w:fldCharType="end"/>
        </w:r>
      </w:hyperlink>
    </w:p>
    <w:p w14:paraId="714CF5E9" w14:textId="66D43927"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5" w:history="1">
        <w:r w:rsidR="00F64945" w:rsidRPr="00B1643E">
          <w:rPr>
            <w:rStyle w:val="Hyperlink"/>
            <w:rFonts w:ascii="Open Sans" w:hAnsi="Open Sans"/>
            <w:noProof/>
          </w:rPr>
          <w:t>Contracting and support for music leaders</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_Toc72855475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8</w:t>
        </w:r>
        <w:r w:rsidR="00F64945" w:rsidRPr="00B1643E">
          <w:rPr>
            <w:rFonts w:ascii="Open Sans" w:hAnsi="Open Sans"/>
            <w:noProof/>
            <w:webHidden/>
          </w:rPr>
          <w:fldChar w:fldCharType="end"/>
        </w:r>
      </w:hyperlink>
    </w:p>
    <w:p w14:paraId="3082DCF0" w14:textId="2BFEC69C"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6" w:history="1">
        <w:r w:rsidR="00F64945" w:rsidRPr="00B1643E">
          <w:rPr>
            <w:rStyle w:val="Hyperlink"/>
            <w:rFonts w:ascii="Open Sans" w:hAnsi="Open Sans"/>
            <w:noProof/>
            <w:lang w:val="en-GB"/>
          </w:rPr>
          <w:t>Young people’s pastoral and progression needs</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_Toc72855476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10</w:t>
        </w:r>
        <w:r w:rsidR="00F64945" w:rsidRPr="00B1643E">
          <w:rPr>
            <w:rFonts w:ascii="Open Sans" w:hAnsi="Open Sans"/>
            <w:noProof/>
            <w:webHidden/>
          </w:rPr>
          <w:fldChar w:fldCharType="end"/>
        </w:r>
      </w:hyperlink>
    </w:p>
    <w:p w14:paraId="2762AF3E" w14:textId="35A6F50E"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7" w:history="1">
        <w:r w:rsidR="00F64945" w:rsidRPr="00B1643E">
          <w:rPr>
            <w:rStyle w:val="Hyperlink"/>
            <w:rFonts w:ascii="Open Sans" w:hAnsi="Open Sans"/>
            <w:noProof/>
            <w:lang w:val="en-GB"/>
          </w:rPr>
          <w:t>Planning and evaluation</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_Toc72855477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11</w:t>
        </w:r>
        <w:r w:rsidR="00F64945" w:rsidRPr="00B1643E">
          <w:rPr>
            <w:rFonts w:ascii="Open Sans" w:hAnsi="Open Sans"/>
            <w:noProof/>
            <w:webHidden/>
          </w:rPr>
          <w:fldChar w:fldCharType="end"/>
        </w:r>
      </w:hyperlink>
    </w:p>
    <w:p w14:paraId="0FE99F04" w14:textId="548A67E4" w:rsidR="00F64945" w:rsidRPr="00B1643E" w:rsidRDefault="00235A8D" w:rsidP="00F64945">
      <w:pPr>
        <w:pStyle w:val="TOC1"/>
        <w:rPr>
          <w:rFonts w:ascii="Open Sans" w:eastAsiaTheme="minorEastAsia" w:hAnsi="Open Sans"/>
          <w:noProof/>
          <w:lang w:val="en-GB"/>
        </w:rPr>
      </w:pPr>
      <w:hyperlink w:anchor="_Toc72855478" w:history="1">
        <w:r w:rsidR="00F64945" w:rsidRPr="00B1643E">
          <w:rPr>
            <w:rStyle w:val="Hyperlink"/>
            <w:rFonts w:ascii="Open Sans" w:hAnsi="Open Sans"/>
            <w:noProof/>
            <w:lang w:val="en-GB"/>
          </w:rPr>
          <w:t>Part 2: Session criteria</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_Toc72855478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12</w:t>
        </w:r>
        <w:r w:rsidR="00F64945" w:rsidRPr="00B1643E">
          <w:rPr>
            <w:rFonts w:ascii="Open Sans" w:hAnsi="Open Sans"/>
            <w:noProof/>
            <w:webHidden/>
          </w:rPr>
          <w:fldChar w:fldCharType="end"/>
        </w:r>
      </w:hyperlink>
    </w:p>
    <w:p w14:paraId="1086067E" w14:textId="5ED635CA"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79" w:history="1">
        <w:r w:rsidR="00F64945" w:rsidRPr="00B1643E">
          <w:rPr>
            <w:rStyle w:val="Hyperlink"/>
            <w:rFonts w:ascii="Open Sans" w:hAnsi="Open Sans"/>
            <w:noProof/>
            <w:lang w:val="en-GB"/>
          </w:rPr>
          <w:t>Young people centred</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_Toc72855479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12</w:t>
        </w:r>
        <w:r w:rsidR="00F64945" w:rsidRPr="00B1643E">
          <w:rPr>
            <w:rFonts w:ascii="Open Sans" w:hAnsi="Open Sans"/>
            <w:noProof/>
            <w:webHidden/>
          </w:rPr>
          <w:fldChar w:fldCharType="end"/>
        </w:r>
      </w:hyperlink>
    </w:p>
    <w:p w14:paraId="00B3BF6F" w14:textId="09B25977"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80" w:history="1">
        <w:r w:rsidR="00F64945" w:rsidRPr="00B1643E">
          <w:rPr>
            <w:rStyle w:val="Hyperlink"/>
            <w:rFonts w:ascii="Open Sans" w:hAnsi="Open Sans"/>
            <w:noProof/>
            <w:lang w:val="en-GB"/>
          </w:rPr>
          <w:t>Music leader practice</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_Toc72855480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14</w:t>
        </w:r>
        <w:r w:rsidR="00F64945" w:rsidRPr="00B1643E">
          <w:rPr>
            <w:rFonts w:ascii="Open Sans" w:hAnsi="Open Sans"/>
            <w:noProof/>
            <w:webHidden/>
          </w:rPr>
          <w:fldChar w:fldCharType="end"/>
        </w:r>
      </w:hyperlink>
    </w:p>
    <w:p w14:paraId="0AC3A685" w14:textId="2D153B76"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81" w:history="1">
        <w:r w:rsidR="00F64945" w:rsidRPr="00B1643E">
          <w:rPr>
            <w:rStyle w:val="Hyperlink"/>
            <w:rFonts w:ascii="Open Sans" w:hAnsi="Open Sans"/>
            <w:noProof/>
            <w:lang w:val="en-GB"/>
          </w:rPr>
          <w:t>Session content</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_Toc72855481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16</w:t>
        </w:r>
        <w:r w:rsidR="00F64945" w:rsidRPr="00B1643E">
          <w:rPr>
            <w:rFonts w:ascii="Open Sans" w:hAnsi="Open Sans"/>
            <w:noProof/>
            <w:webHidden/>
          </w:rPr>
          <w:fldChar w:fldCharType="end"/>
        </w:r>
      </w:hyperlink>
    </w:p>
    <w:p w14:paraId="0ED801B4" w14:textId="13C97684" w:rsidR="00F64945" w:rsidRPr="00B1643E" w:rsidRDefault="00235A8D">
      <w:pPr>
        <w:pStyle w:val="TOC2"/>
        <w:tabs>
          <w:tab w:val="right" w:leader="underscore" w:pos="10790"/>
        </w:tabs>
        <w:rPr>
          <w:rFonts w:ascii="Open Sans" w:eastAsiaTheme="minorEastAsia" w:hAnsi="Open Sans"/>
          <w:b w:val="0"/>
          <w:bCs w:val="0"/>
          <w:noProof/>
          <w:sz w:val="24"/>
          <w:szCs w:val="24"/>
          <w:lang w:val="en-GB"/>
        </w:rPr>
      </w:pPr>
      <w:hyperlink w:anchor="_Toc72855482" w:history="1">
        <w:r w:rsidR="00F64945" w:rsidRPr="00B1643E">
          <w:rPr>
            <w:rStyle w:val="Hyperlink"/>
            <w:rFonts w:ascii="Open Sans" w:hAnsi="Open Sans"/>
            <w:noProof/>
            <w:lang w:val="en-GB"/>
          </w:rPr>
          <w:t>Environment</w:t>
        </w:r>
        <w:r w:rsidR="00F64945" w:rsidRPr="00B1643E">
          <w:rPr>
            <w:rFonts w:ascii="Open Sans" w:hAnsi="Open Sans"/>
            <w:noProof/>
            <w:webHidden/>
          </w:rPr>
          <w:tab/>
        </w:r>
        <w:r w:rsidR="00F64945" w:rsidRPr="00B1643E">
          <w:rPr>
            <w:rFonts w:ascii="Open Sans" w:hAnsi="Open Sans"/>
            <w:noProof/>
            <w:webHidden/>
          </w:rPr>
          <w:fldChar w:fldCharType="begin"/>
        </w:r>
        <w:r w:rsidR="00F64945" w:rsidRPr="00B1643E">
          <w:rPr>
            <w:rFonts w:ascii="Open Sans" w:hAnsi="Open Sans"/>
            <w:noProof/>
            <w:webHidden/>
          </w:rPr>
          <w:instrText xml:space="preserve"> PAGEREF _Toc72855482 \h </w:instrText>
        </w:r>
        <w:r w:rsidR="00F64945" w:rsidRPr="00B1643E">
          <w:rPr>
            <w:rFonts w:ascii="Open Sans" w:hAnsi="Open Sans"/>
            <w:noProof/>
            <w:webHidden/>
          </w:rPr>
        </w:r>
        <w:r w:rsidR="00F64945" w:rsidRPr="00B1643E">
          <w:rPr>
            <w:rFonts w:ascii="Open Sans" w:hAnsi="Open Sans"/>
            <w:noProof/>
            <w:webHidden/>
          </w:rPr>
          <w:fldChar w:fldCharType="separate"/>
        </w:r>
        <w:r>
          <w:rPr>
            <w:rFonts w:ascii="Open Sans" w:hAnsi="Open Sans"/>
            <w:noProof/>
            <w:webHidden/>
          </w:rPr>
          <w:t>18</w:t>
        </w:r>
        <w:r w:rsidR="00F64945" w:rsidRPr="00B1643E">
          <w:rPr>
            <w:rFonts w:ascii="Open Sans" w:hAnsi="Open Sans"/>
            <w:noProof/>
            <w:webHidden/>
          </w:rPr>
          <w:fldChar w:fldCharType="end"/>
        </w:r>
      </w:hyperlink>
    </w:p>
    <w:p w14:paraId="203DD239" w14:textId="0D4488BB" w:rsidR="005D7DD5" w:rsidRPr="00B1643E" w:rsidRDefault="00F64945" w:rsidP="00F64945">
      <w:pPr>
        <w:pStyle w:val="Heading1"/>
        <w:rPr>
          <w:lang w:val="en-GB"/>
        </w:rPr>
      </w:pPr>
      <w:r w:rsidRPr="00F64945">
        <w:rPr>
          <w:lang w:val="en-GB"/>
        </w:rPr>
        <w:lastRenderedPageBreak/>
        <w:fldChar w:fldCharType="end"/>
      </w:r>
      <w:bookmarkStart w:id="3" w:name="_Toc72855469"/>
      <w:r w:rsidR="00BE6776" w:rsidRPr="00570276">
        <w:t>Why have we created a new version of the Quality Framework for online sessions?</w:t>
      </w:r>
      <w:bookmarkEnd w:id="2"/>
      <w:bookmarkEnd w:id="3"/>
    </w:p>
    <w:p w14:paraId="5D262764" w14:textId="51637A43" w:rsidR="005D7DD5" w:rsidRDefault="005D7DD5" w:rsidP="00F64945"/>
    <w:p w14:paraId="10DD3390" w14:textId="7C029BC0" w:rsidR="003C4F3C" w:rsidRPr="00F64945" w:rsidRDefault="005D7DD5" w:rsidP="00F64945">
      <w:r w:rsidRPr="00F64945">
        <w:t xml:space="preserve">Youth Music’s </w:t>
      </w:r>
      <w:r w:rsidR="00040E8A" w:rsidRPr="00F64945">
        <w:t>Q</w:t>
      </w:r>
      <w:r w:rsidRPr="00F64945">
        <w:t xml:space="preserve">uality </w:t>
      </w:r>
      <w:r w:rsidR="00040E8A" w:rsidRPr="00F64945">
        <w:t>F</w:t>
      </w:r>
      <w:r w:rsidRPr="00F64945">
        <w:t xml:space="preserve">ramework is flexible and can be used for any kind of music making project. However, the criteria might look different in different kinds of </w:t>
      </w:r>
      <w:r w:rsidR="004F666C" w:rsidRPr="00F64945">
        <w:t>sessions</w:t>
      </w:r>
      <w:r w:rsidRPr="00F64945">
        <w:t xml:space="preserve">. </w:t>
      </w:r>
    </w:p>
    <w:p w14:paraId="2A488158" w14:textId="77777777" w:rsidR="003C4F3C" w:rsidRPr="00F64945" w:rsidRDefault="003C4F3C" w:rsidP="00F64945"/>
    <w:p w14:paraId="79E16971" w14:textId="3912B9B1" w:rsidR="00040E8A" w:rsidRPr="00F64945" w:rsidRDefault="00E51146" w:rsidP="00F64945">
      <w:r w:rsidRPr="00F64945">
        <w:t xml:space="preserve">Since the beginning of the Coronavirus pandemic in March 2020, many </w:t>
      </w:r>
      <w:proofErr w:type="spellStart"/>
      <w:r w:rsidRPr="00F64945">
        <w:t>organisations</w:t>
      </w:r>
      <w:proofErr w:type="spellEnd"/>
      <w:r w:rsidRPr="00F64945">
        <w:t xml:space="preserve"> have moved their music sessions online. </w:t>
      </w:r>
      <w:r w:rsidR="00040E8A" w:rsidRPr="00F64945">
        <w:t>The easing of lockdown restrictions means that many are now recommencing face-to-face delivery. But it</w:t>
      </w:r>
      <w:r w:rsidR="00CE3DB1" w:rsidRPr="00F64945">
        <w:t>’s</w:t>
      </w:r>
      <w:r w:rsidR="00040E8A" w:rsidRPr="00F64945">
        <w:t xml:space="preserve"> likely that </w:t>
      </w:r>
      <w:r w:rsidR="00CE3DB1" w:rsidRPr="00F64945">
        <w:t xml:space="preserve">many </w:t>
      </w:r>
      <w:proofErr w:type="spellStart"/>
      <w:r w:rsidR="00040E8A" w:rsidRPr="00F64945">
        <w:t>organisations</w:t>
      </w:r>
      <w:proofErr w:type="spellEnd"/>
      <w:r w:rsidR="00040E8A" w:rsidRPr="00F64945">
        <w:t xml:space="preserve"> </w:t>
      </w:r>
      <w:r w:rsidR="00CE3DB1" w:rsidRPr="00F64945">
        <w:t>will</w:t>
      </w:r>
      <w:r w:rsidR="00040E8A" w:rsidRPr="00F64945">
        <w:t xml:space="preserve"> continue to offer </w:t>
      </w:r>
      <w:r w:rsidR="00CE3DB1" w:rsidRPr="00F64945">
        <w:t xml:space="preserve">a blended approach of </w:t>
      </w:r>
      <w:r w:rsidR="00040E8A" w:rsidRPr="00F64945">
        <w:t>online sessions alongside in-person activity.</w:t>
      </w:r>
    </w:p>
    <w:p w14:paraId="59E553E0" w14:textId="77777777" w:rsidR="00040E8A" w:rsidRPr="00F64945" w:rsidRDefault="00040E8A" w:rsidP="00F64945"/>
    <w:p w14:paraId="78F456B3" w14:textId="1E6A8269" w:rsidR="005D71A2" w:rsidRPr="00F64945" w:rsidRDefault="00FB327E" w:rsidP="00F64945">
      <w:r w:rsidRPr="00F64945">
        <w:t xml:space="preserve">This version of the Quality Framework aims to support </w:t>
      </w:r>
      <w:proofErr w:type="spellStart"/>
      <w:r w:rsidRPr="00F64945">
        <w:t>organisations</w:t>
      </w:r>
      <w:proofErr w:type="spellEnd"/>
      <w:r w:rsidRPr="00F64945">
        <w:t xml:space="preserve"> and music leaders working online by highlighting best practice and additional considerations when working </w:t>
      </w:r>
      <w:r w:rsidR="00B878F0" w:rsidRPr="00F64945">
        <w:t>digitally</w:t>
      </w:r>
      <w:r w:rsidRPr="00F64945">
        <w:t>.</w:t>
      </w:r>
    </w:p>
    <w:p w14:paraId="67CD2F40" w14:textId="77777777" w:rsidR="005D71A2" w:rsidRPr="00F64945" w:rsidRDefault="005D71A2" w:rsidP="00F64945"/>
    <w:p w14:paraId="15F93BD8" w14:textId="77777777" w:rsidR="00B651D3" w:rsidRPr="00F64945" w:rsidRDefault="00B651D3" w:rsidP="00F64945">
      <w:r w:rsidRPr="00F64945">
        <w:t>This version of the Quality Framework was developed in partnership with:</w:t>
      </w:r>
    </w:p>
    <w:p w14:paraId="1184E1E4" w14:textId="607E6C74" w:rsidR="00B651D3" w:rsidRPr="00F64945" w:rsidRDefault="00B651D3" w:rsidP="00F64945"/>
    <w:p w14:paraId="3ADF9F6B" w14:textId="77A4B9D8" w:rsidR="00B225BA" w:rsidRPr="00F64945" w:rsidRDefault="00B225BA" w:rsidP="00F64945">
      <w:pPr>
        <w:pStyle w:val="ListParagraph"/>
        <w:numPr>
          <w:ilvl w:val="0"/>
          <w:numId w:val="14"/>
        </w:numPr>
      </w:pPr>
      <w:r w:rsidRPr="00F64945">
        <w:t>Awards for Young Musicians</w:t>
      </w:r>
    </w:p>
    <w:p w14:paraId="6D13937A" w14:textId="2F6E7086" w:rsidR="00B651D3" w:rsidRPr="00F64945" w:rsidRDefault="00B225BA" w:rsidP="00F64945">
      <w:pPr>
        <w:pStyle w:val="ListParagraph"/>
        <w:numPr>
          <w:ilvl w:val="0"/>
          <w:numId w:val="14"/>
        </w:numPr>
      </w:pPr>
      <w:r w:rsidRPr="00F64945">
        <w:t>Brighter Sound</w:t>
      </w:r>
    </w:p>
    <w:p w14:paraId="7133353F" w14:textId="6ABD962F" w:rsidR="00B225BA" w:rsidRPr="00F64945" w:rsidRDefault="00B225BA" w:rsidP="00F64945">
      <w:pPr>
        <w:pStyle w:val="ListParagraph"/>
        <w:numPr>
          <w:ilvl w:val="0"/>
          <w:numId w:val="14"/>
        </w:numPr>
      </w:pPr>
      <w:r w:rsidRPr="00F64945">
        <w:t>Bristol Beacon</w:t>
      </w:r>
    </w:p>
    <w:p w14:paraId="1E1629F1" w14:textId="7719B814" w:rsidR="00B225BA" w:rsidRPr="00F64945" w:rsidRDefault="00B225BA" w:rsidP="00F64945">
      <w:pPr>
        <w:pStyle w:val="ListParagraph"/>
        <w:numPr>
          <w:ilvl w:val="0"/>
          <w:numId w:val="14"/>
        </w:numPr>
      </w:pPr>
      <w:r w:rsidRPr="00F64945">
        <w:t>M</w:t>
      </w:r>
      <w:r w:rsidR="00B878F0" w:rsidRPr="00F64945">
        <w:t xml:space="preserve">idlands </w:t>
      </w:r>
      <w:r w:rsidRPr="00F64945">
        <w:t>A</w:t>
      </w:r>
      <w:r w:rsidR="00B878F0" w:rsidRPr="00F64945">
        <w:t xml:space="preserve">rts </w:t>
      </w:r>
      <w:r w:rsidRPr="00F64945">
        <w:t>C</w:t>
      </w:r>
      <w:r w:rsidR="00B878F0" w:rsidRPr="00F64945">
        <w:t>entre</w:t>
      </w:r>
      <w:r w:rsidRPr="00F64945">
        <w:t xml:space="preserve"> </w:t>
      </w:r>
    </w:p>
    <w:p w14:paraId="0C1C2970" w14:textId="27A255A2" w:rsidR="00B225BA" w:rsidRPr="00F64945" w:rsidRDefault="00B225BA" w:rsidP="00F64945">
      <w:pPr>
        <w:pStyle w:val="ListParagraph"/>
        <w:numPr>
          <w:ilvl w:val="0"/>
          <w:numId w:val="14"/>
        </w:numPr>
      </w:pPr>
      <w:proofErr w:type="spellStart"/>
      <w:r w:rsidRPr="00F64945">
        <w:t>Musinc</w:t>
      </w:r>
      <w:proofErr w:type="spellEnd"/>
    </w:p>
    <w:p w14:paraId="479A514E" w14:textId="77777777" w:rsidR="009E389D" w:rsidRPr="00F64945" w:rsidRDefault="009E389D" w:rsidP="00F64945">
      <w:bookmarkStart w:id="4" w:name="_Toc70436286"/>
      <w:bookmarkStart w:id="5" w:name="_Hlk72329650"/>
      <w:r w:rsidRPr="00F64945">
        <w:br w:type="page"/>
      </w:r>
    </w:p>
    <w:p w14:paraId="407CF5C0" w14:textId="158A1602" w:rsidR="00570276" w:rsidRDefault="00570276" w:rsidP="00F64945">
      <w:pPr>
        <w:pStyle w:val="Heading1"/>
      </w:pPr>
      <w:bookmarkStart w:id="6" w:name="_Toc72855470"/>
      <w:r>
        <w:lastRenderedPageBreak/>
        <w:t>Quality Framework criteria summary</w:t>
      </w:r>
      <w:bookmarkEnd w:id="6"/>
    </w:p>
    <w:p w14:paraId="55E7C65F" w14:textId="77777777" w:rsidR="00570276" w:rsidRDefault="00570276" w:rsidP="00F64945"/>
    <w:p w14:paraId="1D8214AB" w14:textId="6E43F78E" w:rsidR="0010576D" w:rsidRPr="0010576D" w:rsidRDefault="0010576D" w:rsidP="00F64945">
      <w:r>
        <w:t>The tables below summarise all of the criteria that should be considered when</w:t>
      </w:r>
      <w:r w:rsidR="00460CD2">
        <w:t xml:space="preserve"> running a music-making session. The rest of the guidance will provide further information on how to apply these criteria to digital environments.</w:t>
      </w:r>
    </w:p>
    <w:p w14:paraId="423DF9B5" w14:textId="43473326" w:rsidR="00EA6F57" w:rsidRPr="00570276" w:rsidRDefault="00BE250C" w:rsidP="00F64945">
      <w:pPr>
        <w:pStyle w:val="Heading2"/>
      </w:pPr>
      <w:bookmarkStart w:id="7" w:name="_Toc72855471"/>
      <w:r w:rsidRPr="00570276">
        <w:t>P</w:t>
      </w:r>
      <w:r w:rsidR="00EA6F57" w:rsidRPr="00570276">
        <w:t xml:space="preserve">art 1: </w:t>
      </w:r>
      <w:proofErr w:type="spellStart"/>
      <w:r w:rsidR="00EA6F57" w:rsidRPr="00570276">
        <w:t>Organisational</w:t>
      </w:r>
      <w:proofErr w:type="spellEnd"/>
      <w:r w:rsidR="00EA6F57" w:rsidRPr="00570276">
        <w:t xml:space="preserve"> responsibilities criteria summary</w:t>
      </w:r>
      <w:bookmarkEnd w:id="4"/>
      <w:bookmarkEnd w:id="7"/>
    </w:p>
    <w:bookmarkEnd w:id="5"/>
    <w:p w14:paraId="5EA16573" w14:textId="79DAD4BA" w:rsidR="00EA6F57" w:rsidRPr="00482084" w:rsidRDefault="00EA6F57" w:rsidP="00F64945"/>
    <w:tbl>
      <w:tblPr>
        <w:tblStyle w:val="TableGrid"/>
        <w:tblW w:w="0" w:type="auto"/>
        <w:tblLook w:val="04A0" w:firstRow="1" w:lastRow="0" w:firstColumn="1" w:lastColumn="0" w:noHBand="0" w:noVBand="1"/>
      </w:tblPr>
      <w:tblGrid>
        <w:gridCol w:w="4981"/>
        <w:gridCol w:w="4981"/>
      </w:tblGrid>
      <w:tr w:rsidR="00EA6F57" w:rsidRPr="00482084" w14:paraId="02A4EBE9" w14:textId="77777777" w:rsidTr="00CE5965">
        <w:tc>
          <w:tcPr>
            <w:tcW w:w="4981" w:type="dxa"/>
          </w:tcPr>
          <w:p w14:paraId="70BDDEAA" w14:textId="77777777" w:rsidR="00EA6F57" w:rsidRPr="004C4CA7" w:rsidRDefault="00EA6F57" w:rsidP="00F64945">
            <w:pPr>
              <w:rPr>
                <w:b/>
                <w:bCs/>
              </w:rPr>
            </w:pPr>
            <w:r w:rsidRPr="004C4CA7">
              <w:rPr>
                <w:b/>
                <w:bCs/>
              </w:rPr>
              <w:t>Health and safety of all</w:t>
            </w:r>
          </w:p>
        </w:tc>
        <w:tc>
          <w:tcPr>
            <w:tcW w:w="4981" w:type="dxa"/>
          </w:tcPr>
          <w:p w14:paraId="3F14238F" w14:textId="77777777" w:rsidR="00EA6F57" w:rsidRPr="004C4CA7" w:rsidRDefault="00EA6F57" w:rsidP="00F64945">
            <w:pPr>
              <w:rPr>
                <w:b/>
                <w:bCs/>
              </w:rPr>
            </w:pPr>
            <w:r w:rsidRPr="004C4CA7">
              <w:rPr>
                <w:b/>
                <w:bCs/>
              </w:rPr>
              <w:t>Contracting and support for music leaders</w:t>
            </w:r>
          </w:p>
        </w:tc>
      </w:tr>
      <w:tr w:rsidR="00EA6F57" w:rsidRPr="00482084" w14:paraId="6B15D9D7" w14:textId="77777777" w:rsidTr="00CE5965">
        <w:tc>
          <w:tcPr>
            <w:tcW w:w="4981" w:type="dxa"/>
          </w:tcPr>
          <w:p w14:paraId="0BFAFDA6" w14:textId="77777777" w:rsidR="00EA6F57" w:rsidRPr="00482084" w:rsidRDefault="00EA6F57" w:rsidP="00F64945"/>
          <w:p w14:paraId="36E17F08" w14:textId="77777777" w:rsidR="00EA6F57" w:rsidRPr="00482084" w:rsidRDefault="00EA6F57" w:rsidP="00F64945">
            <w:r w:rsidRPr="004C4CA7">
              <w:rPr>
                <w:b/>
                <w:color w:val="623BCB"/>
              </w:rPr>
              <w:t>H1</w:t>
            </w:r>
            <w:r w:rsidRPr="00482084">
              <w:t xml:space="preserve"> Appropriate Health and Safety policies and procedures are in place. </w:t>
            </w:r>
          </w:p>
          <w:p w14:paraId="03D32972" w14:textId="77777777" w:rsidR="00EA6F57" w:rsidRPr="00482084" w:rsidRDefault="00EA6F57" w:rsidP="00F64945"/>
          <w:p w14:paraId="56E9B2E9" w14:textId="77777777" w:rsidR="00EA6F57" w:rsidRPr="00482084" w:rsidRDefault="00EA6F57" w:rsidP="00F64945">
            <w:r w:rsidRPr="004C4CA7">
              <w:rPr>
                <w:b/>
                <w:color w:val="623BCB"/>
              </w:rPr>
              <w:t>H2</w:t>
            </w:r>
            <w:r w:rsidRPr="00482084">
              <w:rPr>
                <w:b/>
                <w:color w:val="A70063"/>
              </w:rPr>
              <w:t xml:space="preserve"> </w:t>
            </w:r>
            <w:r w:rsidRPr="00482084">
              <w:t xml:space="preserve">A Safeguarding and Child Protection policy is in place to protect the welfare of young people and staff (including conducting </w:t>
            </w:r>
            <w:hyperlink r:id="rId9" w:history="1">
              <w:r w:rsidRPr="00482084">
                <w:rPr>
                  <w:rStyle w:val="Hyperlink"/>
                  <w:rFonts w:ascii="Arial" w:hAnsi="Arial" w:cs="Arial"/>
                </w:rPr>
                <w:t>Disclosure and Barring Service checks</w:t>
              </w:r>
            </w:hyperlink>
            <w:r w:rsidRPr="00482084">
              <w:t>).</w:t>
            </w:r>
          </w:p>
          <w:p w14:paraId="5E816CD5" w14:textId="77777777" w:rsidR="00EA6F57" w:rsidRPr="00482084" w:rsidRDefault="00EA6F57" w:rsidP="00F64945"/>
        </w:tc>
        <w:tc>
          <w:tcPr>
            <w:tcW w:w="4981" w:type="dxa"/>
          </w:tcPr>
          <w:p w14:paraId="26391F91" w14:textId="77777777" w:rsidR="00EA6F57" w:rsidRPr="00482084" w:rsidRDefault="00EA6F57" w:rsidP="00F64945"/>
          <w:p w14:paraId="787CBEA3" w14:textId="77777777" w:rsidR="00EA6F57" w:rsidRPr="00482084" w:rsidRDefault="00EA6F57" w:rsidP="00F64945">
            <w:r w:rsidRPr="004C4CA7">
              <w:rPr>
                <w:b/>
                <w:color w:val="623BCB"/>
              </w:rPr>
              <w:t>C1</w:t>
            </w:r>
            <w:r w:rsidRPr="00482084">
              <w:rPr>
                <w:b/>
                <w:color w:val="A70063"/>
              </w:rPr>
              <w:t xml:space="preserve"> </w:t>
            </w:r>
            <w:r w:rsidRPr="00482084">
              <w:t>Contracts include time for structured reflection and evaluation activities with key staff or volunteers involved in planning and delivery.</w:t>
            </w:r>
          </w:p>
          <w:p w14:paraId="64AA5F8F" w14:textId="77777777" w:rsidR="00EA6F57" w:rsidRPr="00482084" w:rsidRDefault="00EA6F57" w:rsidP="00F64945"/>
          <w:p w14:paraId="7720E3F6" w14:textId="77777777" w:rsidR="00EA6F57" w:rsidRPr="00482084" w:rsidRDefault="00EA6F57" w:rsidP="00F64945">
            <w:r w:rsidRPr="004C4CA7">
              <w:rPr>
                <w:b/>
                <w:color w:val="623BCB"/>
              </w:rPr>
              <w:t>C2</w:t>
            </w:r>
            <w:r w:rsidRPr="00482084">
              <w:t xml:space="preserve"> Contracts include clear expectations around music leader planning, including short, medium and long-term planning. Plans should be flexible and adaptable.</w:t>
            </w:r>
          </w:p>
          <w:p w14:paraId="43D64D9A" w14:textId="77777777" w:rsidR="00EA6F57" w:rsidRPr="00482084" w:rsidRDefault="00EA6F57" w:rsidP="00F64945"/>
          <w:p w14:paraId="0F6BE2E4" w14:textId="77777777" w:rsidR="00EA6F57" w:rsidRPr="00482084" w:rsidRDefault="00EA6F57" w:rsidP="00F64945">
            <w:r w:rsidRPr="004C4CA7">
              <w:rPr>
                <w:b/>
                <w:color w:val="623BCB"/>
              </w:rPr>
              <w:t>C3</w:t>
            </w:r>
            <w:r w:rsidRPr="00482084">
              <w:t xml:space="preserve"> Roles and responsibilities of all those involved in the planning and delivery of sessions are clearly outlined.</w:t>
            </w:r>
          </w:p>
          <w:p w14:paraId="38EC056B" w14:textId="77777777" w:rsidR="00EA6F57" w:rsidRPr="00482084" w:rsidRDefault="00EA6F57" w:rsidP="00F64945"/>
          <w:p w14:paraId="5198A360" w14:textId="77777777" w:rsidR="00EA6F57" w:rsidRPr="00482084" w:rsidRDefault="00EA6F57" w:rsidP="00F64945">
            <w:pPr>
              <w:rPr>
                <w:b/>
              </w:rPr>
            </w:pPr>
            <w:r w:rsidRPr="004C4CA7">
              <w:rPr>
                <w:b/>
                <w:color w:val="623BCB"/>
              </w:rPr>
              <w:t>C4</w:t>
            </w:r>
            <w:r w:rsidRPr="00482084">
              <w:t xml:space="preserve"> Organisations support the emotional wellbeing of staff with regular catch-up/supervision sessions</w:t>
            </w:r>
          </w:p>
          <w:p w14:paraId="67C07AFB" w14:textId="77777777" w:rsidR="00EA6F57" w:rsidRPr="00482084" w:rsidRDefault="00EA6F57" w:rsidP="00F64945"/>
          <w:p w14:paraId="5E3AD89B" w14:textId="77777777" w:rsidR="00EA6F57" w:rsidRPr="00482084" w:rsidRDefault="00EA6F57" w:rsidP="00F64945">
            <w:pPr>
              <w:rPr>
                <w:b/>
              </w:rPr>
            </w:pPr>
            <w:r w:rsidRPr="004C4CA7">
              <w:rPr>
                <w:b/>
                <w:color w:val="623BCB"/>
              </w:rPr>
              <w:t>C5</w:t>
            </w:r>
            <w:r w:rsidRPr="00482084">
              <w:t xml:space="preserve"> Organisations seek to support music leaders’ training and development needs. </w:t>
            </w:r>
          </w:p>
          <w:p w14:paraId="1294A1F4" w14:textId="77777777" w:rsidR="00EA6F57" w:rsidRPr="00482084" w:rsidRDefault="00EA6F57" w:rsidP="00F64945"/>
        </w:tc>
      </w:tr>
      <w:tr w:rsidR="00EA6F57" w:rsidRPr="00482084" w14:paraId="5BDFA9F5" w14:textId="77777777" w:rsidTr="00CE5965">
        <w:tc>
          <w:tcPr>
            <w:tcW w:w="4981" w:type="dxa"/>
          </w:tcPr>
          <w:p w14:paraId="405302E5" w14:textId="77777777" w:rsidR="00EA6F57" w:rsidRPr="004C4CA7" w:rsidRDefault="00EA6F57" w:rsidP="00F64945">
            <w:pPr>
              <w:rPr>
                <w:b/>
                <w:bCs/>
              </w:rPr>
            </w:pPr>
            <w:r w:rsidRPr="004C4CA7">
              <w:rPr>
                <w:b/>
                <w:bCs/>
              </w:rPr>
              <w:t>Young people’s pastoral and progression needs</w:t>
            </w:r>
          </w:p>
        </w:tc>
        <w:tc>
          <w:tcPr>
            <w:tcW w:w="4981" w:type="dxa"/>
          </w:tcPr>
          <w:p w14:paraId="4BA2D359" w14:textId="77777777" w:rsidR="00EA6F57" w:rsidRPr="004C4CA7" w:rsidRDefault="00EA6F57" w:rsidP="00F64945">
            <w:pPr>
              <w:rPr>
                <w:b/>
                <w:bCs/>
              </w:rPr>
            </w:pPr>
            <w:r w:rsidRPr="004C4CA7">
              <w:rPr>
                <w:b/>
                <w:bCs/>
              </w:rPr>
              <w:t>Planning and evaluation</w:t>
            </w:r>
          </w:p>
          <w:p w14:paraId="4092D419" w14:textId="77777777" w:rsidR="00EA6F57" w:rsidRPr="004C4CA7" w:rsidRDefault="00EA6F57" w:rsidP="00F64945">
            <w:pPr>
              <w:rPr>
                <w:b/>
                <w:bCs/>
              </w:rPr>
            </w:pPr>
          </w:p>
        </w:tc>
      </w:tr>
      <w:tr w:rsidR="00EA6F57" w:rsidRPr="00482084" w14:paraId="66DC5DA3" w14:textId="77777777" w:rsidTr="00CE5965">
        <w:tc>
          <w:tcPr>
            <w:tcW w:w="4981" w:type="dxa"/>
          </w:tcPr>
          <w:p w14:paraId="2E8804E8" w14:textId="77777777" w:rsidR="00EA6F57" w:rsidRPr="00482084" w:rsidRDefault="00EA6F57" w:rsidP="00F64945"/>
          <w:p w14:paraId="3330F726" w14:textId="77777777" w:rsidR="00EA6F57" w:rsidRPr="00482084" w:rsidRDefault="00EA6F57" w:rsidP="00F64945">
            <w:r w:rsidRPr="004C4CA7">
              <w:rPr>
                <w:b/>
                <w:color w:val="623BCB"/>
              </w:rPr>
              <w:t>PP1</w:t>
            </w:r>
            <w:r w:rsidRPr="00482084">
              <w:t xml:space="preserve"> Appropriate pastoral support is provided for young people.</w:t>
            </w:r>
          </w:p>
          <w:p w14:paraId="78862F7D" w14:textId="77777777" w:rsidR="00EA6F57" w:rsidRPr="00482084" w:rsidRDefault="00EA6F57" w:rsidP="00F64945"/>
          <w:p w14:paraId="4ED8C193" w14:textId="77777777" w:rsidR="00EA6F57" w:rsidRPr="00482084" w:rsidRDefault="00EA6F57" w:rsidP="00F64945">
            <w:r w:rsidRPr="004C4CA7">
              <w:rPr>
                <w:b/>
                <w:color w:val="623BCB"/>
              </w:rPr>
              <w:t>PP2</w:t>
            </w:r>
            <w:r w:rsidRPr="00482084">
              <w:t xml:space="preserve"> When participants are referred by another organisation, information is </w:t>
            </w:r>
            <w:r w:rsidRPr="00482084">
              <w:lastRenderedPageBreak/>
              <w:t xml:space="preserve">requested to inform planning and communication (for example about musical ability and experience, pastoral needs, special educational needs and/or disabilities). </w:t>
            </w:r>
          </w:p>
          <w:p w14:paraId="6C870548" w14:textId="77777777" w:rsidR="00EA6F57" w:rsidRPr="00482084" w:rsidRDefault="00EA6F57" w:rsidP="00F64945"/>
          <w:p w14:paraId="12E2960B" w14:textId="77777777" w:rsidR="00EA6F57" w:rsidRPr="00482084" w:rsidRDefault="00EA6F57" w:rsidP="00F64945">
            <w:r w:rsidRPr="004C4CA7">
              <w:rPr>
                <w:b/>
                <w:color w:val="623BCB"/>
              </w:rPr>
              <w:t>PP3</w:t>
            </w:r>
            <w:r w:rsidRPr="00482084">
              <w:t xml:space="preserve"> Organisations enable music leaders to develop up-to-date knowledge of progression routes, so that young people can be signposted to relevant opportunities beyond the programme.</w:t>
            </w:r>
          </w:p>
          <w:p w14:paraId="19A2D347" w14:textId="77777777" w:rsidR="00EA6F57" w:rsidRPr="00482084" w:rsidRDefault="00EA6F57" w:rsidP="00F64945"/>
        </w:tc>
        <w:tc>
          <w:tcPr>
            <w:tcW w:w="4981" w:type="dxa"/>
          </w:tcPr>
          <w:p w14:paraId="169015E0" w14:textId="77777777" w:rsidR="00EA6F57" w:rsidRPr="00482084" w:rsidRDefault="00EA6F57" w:rsidP="00F64945"/>
          <w:p w14:paraId="30A3E600" w14:textId="77777777" w:rsidR="00EA6F57" w:rsidRPr="00482084" w:rsidRDefault="00EA6F57" w:rsidP="00F64945">
            <w:r w:rsidRPr="004C4CA7">
              <w:rPr>
                <w:b/>
                <w:color w:val="623BCB"/>
              </w:rPr>
              <w:t>PE1</w:t>
            </w:r>
            <w:r w:rsidRPr="00482084">
              <w:t xml:space="preserve"> Programmes are planned to ensure that duration of contact time and frequency of engagement are sufficient to achieve the intended outcomes.</w:t>
            </w:r>
          </w:p>
          <w:p w14:paraId="1ABB6D9C" w14:textId="77777777" w:rsidR="00EA6F57" w:rsidRPr="00482084" w:rsidRDefault="00EA6F57" w:rsidP="00F64945"/>
          <w:p w14:paraId="2368CAD2" w14:textId="77777777" w:rsidR="00EA6F57" w:rsidRPr="00482084" w:rsidRDefault="00EA6F57" w:rsidP="00F64945">
            <w:r w:rsidRPr="004C4CA7">
              <w:rPr>
                <w:b/>
                <w:color w:val="623BCB"/>
              </w:rPr>
              <w:lastRenderedPageBreak/>
              <w:t>PE2</w:t>
            </w:r>
            <w:r w:rsidRPr="00482084">
              <w:t xml:space="preserve"> Evaluation activities are devised and scheduled before delivery commences.</w:t>
            </w:r>
          </w:p>
          <w:p w14:paraId="0639A944" w14:textId="77777777" w:rsidR="00EA6F57" w:rsidRPr="00482084" w:rsidRDefault="00EA6F57" w:rsidP="00F64945"/>
          <w:p w14:paraId="6D1F5A69" w14:textId="77777777" w:rsidR="00EA6F57" w:rsidRPr="00482084" w:rsidRDefault="00EA6F57" w:rsidP="00F64945">
            <w:pPr>
              <w:rPr>
                <w:b/>
              </w:rPr>
            </w:pPr>
            <w:r w:rsidRPr="004C4CA7">
              <w:rPr>
                <w:b/>
                <w:color w:val="623BCB"/>
              </w:rPr>
              <w:t>PE3</w:t>
            </w:r>
            <w:r w:rsidRPr="00482084">
              <w:t xml:space="preserve"> Organisations ensure that evaluation activities are carried out as planned.</w:t>
            </w:r>
          </w:p>
        </w:tc>
      </w:tr>
    </w:tbl>
    <w:p w14:paraId="2F011AD8" w14:textId="77777777" w:rsidR="00EA6F57" w:rsidRPr="00482084" w:rsidRDefault="00EA6F57" w:rsidP="00F64945"/>
    <w:p w14:paraId="586FA822" w14:textId="77777777" w:rsidR="00EA6F57" w:rsidRPr="00482084" w:rsidRDefault="00EA6F57" w:rsidP="00F64945">
      <w:r w:rsidRPr="00482084">
        <w:br w:type="page"/>
      </w:r>
    </w:p>
    <w:p w14:paraId="4E920E1F" w14:textId="20979254" w:rsidR="00EA6F57" w:rsidRPr="00482084" w:rsidRDefault="00EA6F57" w:rsidP="00F64945">
      <w:pPr>
        <w:pStyle w:val="Heading2"/>
      </w:pPr>
      <w:bookmarkStart w:id="8" w:name="_Toc70436287"/>
      <w:bookmarkStart w:id="9" w:name="_Toc72855472"/>
      <w:r w:rsidRPr="00482084">
        <w:lastRenderedPageBreak/>
        <w:t xml:space="preserve">Part 2: Session criteria </w:t>
      </w:r>
      <w:r>
        <w:t>summary</w:t>
      </w:r>
      <w:bookmarkEnd w:id="8"/>
      <w:bookmarkEnd w:id="9"/>
    </w:p>
    <w:tbl>
      <w:tblPr>
        <w:tblStyle w:val="TableGrid"/>
        <w:tblW w:w="0" w:type="auto"/>
        <w:tblLook w:val="04A0" w:firstRow="1" w:lastRow="0" w:firstColumn="1" w:lastColumn="0" w:noHBand="0" w:noVBand="1"/>
      </w:tblPr>
      <w:tblGrid>
        <w:gridCol w:w="4967"/>
        <w:gridCol w:w="4995"/>
      </w:tblGrid>
      <w:tr w:rsidR="00EA6F57" w:rsidRPr="00482084" w14:paraId="5AEB0FDB" w14:textId="77777777" w:rsidTr="00CE5965">
        <w:tc>
          <w:tcPr>
            <w:tcW w:w="4967" w:type="dxa"/>
          </w:tcPr>
          <w:p w14:paraId="00E13144" w14:textId="77777777" w:rsidR="00EA6F57" w:rsidRPr="004C4CA7" w:rsidRDefault="00EA6F57" w:rsidP="00F64945">
            <w:pPr>
              <w:rPr>
                <w:b/>
                <w:bCs/>
              </w:rPr>
            </w:pPr>
            <w:r w:rsidRPr="004C4CA7">
              <w:rPr>
                <w:b/>
                <w:bCs/>
              </w:rPr>
              <w:t>Young people centred</w:t>
            </w:r>
          </w:p>
        </w:tc>
        <w:tc>
          <w:tcPr>
            <w:tcW w:w="4995" w:type="dxa"/>
          </w:tcPr>
          <w:p w14:paraId="5A2BBC7E" w14:textId="77777777" w:rsidR="00EA6F57" w:rsidRPr="004C4CA7" w:rsidRDefault="00EA6F57" w:rsidP="00F64945">
            <w:pPr>
              <w:rPr>
                <w:b/>
                <w:bCs/>
              </w:rPr>
            </w:pPr>
            <w:r w:rsidRPr="004C4CA7">
              <w:rPr>
                <w:b/>
                <w:bCs/>
              </w:rPr>
              <w:t>Music leader practice</w:t>
            </w:r>
          </w:p>
        </w:tc>
      </w:tr>
      <w:tr w:rsidR="00EA6F57" w:rsidRPr="00482084" w14:paraId="4BBFB60B" w14:textId="77777777" w:rsidTr="00CE5965">
        <w:tc>
          <w:tcPr>
            <w:tcW w:w="4967" w:type="dxa"/>
          </w:tcPr>
          <w:p w14:paraId="06CC20F3" w14:textId="77777777" w:rsidR="00EA6F57" w:rsidRPr="00482084" w:rsidRDefault="00EA6F57" w:rsidP="00F64945"/>
          <w:p w14:paraId="6018BC54" w14:textId="77777777" w:rsidR="00EA6F57" w:rsidRPr="00482084" w:rsidRDefault="00EA6F57" w:rsidP="00F64945">
            <w:r w:rsidRPr="004C4CA7">
              <w:rPr>
                <w:b/>
                <w:color w:val="623BCB"/>
              </w:rPr>
              <w:t>Y1</w:t>
            </w:r>
            <w:r w:rsidRPr="00482084">
              <w:t xml:space="preserve"> Music-making reflects the young people’s interests, with recognition of their existing musical identities.  </w:t>
            </w:r>
          </w:p>
          <w:p w14:paraId="2FFDC93E" w14:textId="77777777" w:rsidR="00EA6F57" w:rsidRPr="00482084" w:rsidRDefault="00EA6F57" w:rsidP="00F64945"/>
          <w:p w14:paraId="361E2A7D" w14:textId="77777777" w:rsidR="00EA6F57" w:rsidRPr="00482084" w:rsidRDefault="00EA6F57" w:rsidP="00F64945">
            <w:r w:rsidRPr="004C4CA7">
              <w:rPr>
                <w:b/>
                <w:color w:val="623BCB"/>
              </w:rPr>
              <w:t>Y2</w:t>
            </w:r>
            <w:r w:rsidRPr="00482084">
              <w:t xml:space="preserve"> Young people experience equality of engagement and no participant is discriminated against. Their views are integral to the session.</w:t>
            </w:r>
          </w:p>
          <w:p w14:paraId="3E50C484" w14:textId="77777777" w:rsidR="00EA6F57" w:rsidRPr="00482084" w:rsidRDefault="00EA6F57" w:rsidP="00F64945"/>
          <w:p w14:paraId="3B8FE441" w14:textId="77777777" w:rsidR="00EA6F57" w:rsidRPr="00482084" w:rsidRDefault="00EA6F57" w:rsidP="00F64945">
            <w:r w:rsidRPr="004C4CA7">
              <w:rPr>
                <w:b/>
                <w:color w:val="623BCB"/>
              </w:rPr>
              <w:t>Y3</w:t>
            </w:r>
            <w:r w:rsidRPr="00482084">
              <w:t xml:space="preserve"> The young people’s musical, personal and social development are monitored, and achievements are celebrated and valued.  Young people are supported by music leaders to set their own goals and targets.</w:t>
            </w:r>
          </w:p>
          <w:p w14:paraId="1A346576" w14:textId="77777777" w:rsidR="00EA6F57" w:rsidRPr="00482084" w:rsidRDefault="00EA6F57" w:rsidP="00F64945"/>
          <w:p w14:paraId="67251D28" w14:textId="77777777" w:rsidR="00EA6F57" w:rsidRPr="00482084" w:rsidRDefault="00EA6F57" w:rsidP="00F64945">
            <w:r w:rsidRPr="004C4CA7">
              <w:rPr>
                <w:b/>
                <w:color w:val="623BCB"/>
              </w:rPr>
              <w:t>Y4</w:t>
            </w:r>
            <w:r w:rsidRPr="00482084">
              <w:rPr>
                <w:color w:val="0094A1"/>
              </w:rPr>
              <w:t xml:space="preserve"> </w:t>
            </w:r>
            <w:r w:rsidRPr="00482084">
              <w:t>Young people receive clear feedback on their work, identifying next steps for individual improvement. Young people are encouraged to participate in this process through structured peer and self-reflection. Comparison to others is only made where appropriate.</w:t>
            </w:r>
          </w:p>
          <w:p w14:paraId="15DC77B4" w14:textId="77777777" w:rsidR="00EA6F57" w:rsidRPr="00482084" w:rsidRDefault="00EA6F57" w:rsidP="00F64945"/>
          <w:p w14:paraId="45E8E4A5" w14:textId="77777777" w:rsidR="00EA6F57" w:rsidRPr="00482084" w:rsidRDefault="00EA6F57" w:rsidP="00F64945">
            <w:r w:rsidRPr="004C4CA7">
              <w:rPr>
                <w:b/>
                <w:color w:val="623BCB"/>
              </w:rPr>
              <w:t>Y5</w:t>
            </w:r>
            <w:r w:rsidRPr="00482084">
              <w:t xml:space="preserve"> The music leader and/or project staff identify the need for any additional pastoral or other support, and seek to provide or signpost to this.</w:t>
            </w:r>
          </w:p>
          <w:p w14:paraId="129866E2" w14:textId="77777777" w:rsidR="00EA6F57" w:rsidRPr="00482084" w:rsidRDefault="00EA6F57" w:rsidP="00F64945"/>
        </w:tc>
        <w:tc>
          <w:tcPr>
            <w:tcW w:w="4995" w:type="dxa"/>
          </w:tcPr>
          <w:p w14:paraId="7BAFB6E0" w14:textId="77777777" w:rsidR="00EA6F57" w:rsidRPr="00482084" w:rsidRDefault="00EA6F57" w:rsidP="00F64945"/>
          <w:p w14:paraId="1F07BA38" w14:textId="77777777" w:rsidR="00EA6F57" w:rsidRPr="00482084" w:rsidRDefault="00EA6F57" w:rsidP="00F64945">
            <w:r w:rsidRPr="004C4CA7">
              <w:rPr>
                <w:b/>
                <w:color w:val="623BCB"/>
              </w:rPr>
              <w:t>M1</w:t>
            </w:r>
            <w:r w:rsidRPr="00482084">
              <w:t xml:space="preserve"> The music leader has relevant musical competence, and is both an able practitioner and positive role model.</w:t>
            </w:r>
          </w:p>
          <w:p w14:paraId="067FC027" w14:textId="77777777" w:rsidR="00EA6F57" w:rsidRPr="00482084" w:rsidRDefault="00EA6F57" w:rsidP="00F64945"/>
          <w:p w14:paraId="6DFB486B" w14:textId="77777777" w:rsidR="00EA6F57" w:rsidRPr="00482084" w:rsidRDefault="00EA6F57" w:rsidP="00F64945">
            <w:r w:rsidRPr="004C4CA7">
              <w:rPr>
                <w:b/>
                <w:color w:val="623BCB"/>
              </w:rPr>
              <w:t>M2</w:t>
            </w:r>
            <w:r w:rsidRPr="00482084">
              <w:t xml:space="preserve"> The music leader has a clear intention and has planned the session accordingly, while retaining room for flexibility.  </w:t>
            </w:r>
          </w:p>
          <w:p w14:paraId="5C16302C" w14:textId="77777777" w:rsidR="00EA6F57" w:rsidRPr="00482084" w:rsidRDefault="00EA6F57" w:rsidP="00F64945"/>
          <w:p w14:paraId="5A42F933" w14:textId="77777777" w:rsidR="00EA6F57" w:rsidRPr="00482084" w:rsidRDefault="00EA6F57" w:rsidP="00F64945">
            <w:r w:rsidRPr="004C4CA7">
              <w:rPr>
                <w:b/>
                <w:color w:val="623BCB"/>
              </w:rPr>
              <w:t>M3</w:t>
            </w:r>
            <w:r w:rsidRPr="00482084">
              <w:rPr>
                <w:b/>
                <w:color w:val="A70063"/>
              </w:rPr>
              <w:t xml:space="preserve"> </w:t>
            </w:r>
            <w:r w:rsidRPr="00482084">
              <w:t>The music leader plans sessions that enable young people to make progress and nurtures their understanding of what it means to be a musician.</w:t>
            </w:r>
          </w:p>
          <w:p w14:paraId="565F04F9" w14:textId="77777777" w:rsidR="00EA6F57" w:rsidRPr="00482084" w:rsidRDefault="00EA6F57" w:rsidP="00F64945">
            <w:r w:rsidRPr="00482084">
              <w:t xml:space="preserve">  </w:t>
            </w:r>
          </w:p>
          <w:p w14:paraId="164EB06E" w14:textId="77777777" w:rsidR="00EA6F57" w:rsidRPr="00482084" w:rsidRDefault="00EA6F57" w:rsidP="00F64945">
            <w:r w:rsidRPr="004C4CA7">
              <w:rPr>
                <w:b/>
                <w:color w:val="623BCB"/>
              </w:rPr>
              <w:t>M4</w:t>
            </w:r>
            <w:r w:rsidRPr="00482084">
              <w:rPr>
                <w:b/>
                <w:color w:val="A70063"/>
              </w:rPr>
              <w:t xml:space="preserve"> </w:t>
            </w:r>
            <w:r w:rsidRPr="00482084">
              <w:t xml:space="preserve">The music leader regularly checks young people’s understanding. They reflect on their own practice: activities are reviewed and adapted over the course of the session according to how the young people respond.  </w:t>
            </w:r>
          </w:p>
          <w:p w14:paraId="63D33BFC" w14:textId="77777777" w:rsidR="00EA6F57" w:rsidRPr="00482084" w:rsidRDefault="00EA6F57" w:rsidP="00F64945"/>
          <w:p w14:paraId="39B10C16" w14:textId="77777777" w:rsidR="00EA6F57" w:rsidRPr="00482084" w:rsidRDefault="00EA6F57" w:rsidP="00F64945">
            <w:r w:rsidRPr="004C4CA7">
              <w:rPr>
                <w:b/>
                <w:color w:val="623BCB"/>
              </w:rPr>
              <w:t>M5</w:t>
            </w:r>
            <w:r w:rsidRPr="00482084">
              <w:rPr>
                <w:b/>
                <w:color w:val="A70063"/>
              </w:rPr>
              <w:t xml:space="preserve"> </w:t>
            </w:r>
            <w:r w:rsidRPr="00482084">
              <w:t>All project staff are actively engaged with activities. Music leaders and other project staff communicate before, during and/or after the session and collaborate in planning activities. Roles and responsibilities are clear to all involved.</w:t>
            </w:r>
          </w:p>
          <w:p w14:paraId="58298427" w14:textId="77777777" w:rsidR="00EA6F57" w:rsidRPr="00482084" w:rsidRDefault="00EA6F57" w:rsidP="00F64945"/>
        </w:tc>
      </w:tr>
      <w:tr w:rsidR="00EA6F57" w:rsidRPr="00482084" w14:paraId="380E1508" w14:textId="77777777" w:rsidTr="00CE5965">
        <w:tc>
          <w:tcPr>
            <w:tcW w:w="4967" w:type="dxa"/>
          </w:tcPr>
          <w:p w14:paraId="14B790BA" w14:textId="77777777" w:rsidR="00EA6F57" w:rsidRPr="004C4CA7" w:rsidRDefault="00EA6F57" w:rsidP="00F64945">
            <w:pPr>
              <w:rPr>
                <w:b/>
                <w:bCs/>
              </w:rPr>
            </w:pPr>
            <w:r w:rsidRPr="004C4CA7">
              <w:rPr>
                <w:b/>
                <w:bCs/>
              </w:rPr>
              <w:t>Session content</w:t>
            </w:r>
          </w:p>
        </w:tc>
        <w:tc>
          <w:tcPr>
            <w:tcW w:w="4995" w:type="dxa"/>
          </w:tcPr>
          <w:p w14:paraId="6137E30B" w14:textId="77777777" w:rsidR="00EA6F57" w:rsidRPr="004C4CA7" w:rsidRDefault="00EA6F57" w:rsidP="00F64945">
            <w:pPr>
              <w:rPr>
                <w:b/>
                <w:bCs/>
              </w:rPr>
            </w:pPr>
            <w:r w:rsidRPr="004C4CA7">
              <w:rPr>
                <w:b/>
                <w:bCs/>
              </w:rPr>
              <w:t>Environment</w:t>
            </w:r>
          </w:p>
        </w:tc>
      </w:tr>
      <w:tr w:rsidR="00EA6F57" w:rsidRPr="00482084" w14:paraId="379E6488" w14:textId="77777777" w:rsidTr="00CE5965">
        <w:tc>
          <w:tcPr>
            <w:tcW w:w="4967" w:type="dxa"/>
          </w:tcPr>
          <w:p w14:paraId="0F49AD4D" w14:textId="77777777" w:rsidR="00EA6F57" w:rsidRPr="00482084" w:rsidRDefault="00EA6F57" w:rsidP="00F64945"/>
          <w:p w14:paraId="188A0AD6" w14:textId="77777777" w:rsidR="00EA6F57" w:rsidRPr="00482084" w:rsidRDefault="00EA6F57" w:rsidP="00F64945">
            <w:r w:rsidRPr="004C4CA7">
              <w:rPr>
                <w:b/>
                <w:color w:val="623BCB"/>
              </w:rPr>
              <w:t>S1</w:t>
            </w:r>
            <w:r w:rsidRPr="00482084">
              <w:rPr>
                <w:b/>
                <w:color w:val="A70063"/>
              </w:rPr>
              <w:t xml:space="preserve"> </w:t>
            </w:r>
            <w:r w:rsidRPr="00482084">
              <w:t>Activities are engaging, inspiring and purposeful. They are clearly explained and/or demonstrated to the young people.</w:t>
            </w:r>
          </w:p>
          <w:p w14:paraId="02CE7F80" w14:textId="77777777" w:rsidR="00EA6F57" w:rsidRPr="00482084" w:rsidRDefault="00EA6F57" w:rsidP="00F64945"/>
          <w:p w14:paraId="46FDF71D" w14:textId="77777777" w:rsidR="00EA6F57" w:rsidRPr="00482084" w:rsidRDefault="00EA6F57" w:rsidP="00F64945">
            <w:r w:rsidRPr="004C4CA7">
              <w:rPr>
                <w:b/>
                <w:color w:val="623BCB"/>
              </w:rPr>
              <w:t>S2</w:t>
            </w:r>
            <w:r w:rsidRPr="00482084">
              <w:t xml:space="preserve"> Ownership of session content is shared between the music leader and young </w:t>
            </w:r>
            <w:r w:rsidRPr="00482084">
              <w:lastRenderedPageBreak/>
              <w:t>people.  Participants contribute to decision-making and have the opportunity to take on leadership roles where appropriate.</w:t>
            </w:r>
          </w:p>
          <w:p w14:paraId="17FDF46C" w14:textId="77777777" w:rsidR="00EA6F57" w:rsidRPr="00482084" w:rsidRDefault="00EA6F57" w:rsidP="00F64945"/>
          <w:p w14:paraId="04969866" w14:textId="77777777" w:rsidR="00EA6F57" w:rsidRPr="00482084" w:rsidRDefault="00EA6F57" w:rsidP="00F64945">
            <w:r w:rsidRPr="004C4CA7">
              <w:rPr>
                <w:b/>
                <w:color w:val="623BCB"/>
              </w:rPr>
              <w:t>S3</w:t>
            </w:r>
            <w:r w:rsidRPr="00482084">
              <w:rPr>
                <w:b/>
                <w:color w:val="A70063"/>
              </w:rPr>
              <w:t xml:space="preserve"> </w:t>
            </w:r>
            <w:r w:rsidRPr="00482084">
              <w:t xml:space="preserve">Young people are supported to </w:t>
            </w:r>
            <w:r w:rsidRPr="00482084">
              <w:rPr>
                <w:color w:val="000000" w:themeColor="text1"/>
              </w:rPr>
              <w:t xml:space="preserve">create and make </w:t>
            </w:r>
            <w:r w:rsidRPr="00482084">
              <w:t>their own music, and broaden their musical horizons over time.</w:t>
            </w:r>
          </w:p>
          <w:p w14:paraId="20612745" w14:textId="77777777" w:rsidR="00EA6F57" w:rsidRPr="00482084" w:rsidRDefault="00EA6F57" w:rsidP="00F64945"/>
          <w:p w14:paraId="4A2C4DF8" w14:textId="77777777" w:rsidR="00EA6F57" w:rsidRPr="00482084" w:rsidRDefault="00EA6F57" w:rsidP="00F64945">
            <w:r w:rsidRPr="004C4CA7">
              <w:rPr>
                <w:b/>
                <w:color w:val="623BCB"/>
              </w:rPr>
              <w:t>S4</w:t>
            </w:r>
            <w:r w:rsidRPr="00482084">
              <w:t xml:space="preserve"> Activities are designed and delivered in a manner that is accessible to all and tailored to each individual whenever possible, taking account of their starting points and aspirations. Group dynamics and pace of learning have been considered.</w:t>
            </w:r>
          </w:p>
          <w:p w14:paraId="20B7FD03" w14:textId="77777777" w:rsidR="00EA6F57" w:rsidRPr="00482084" w:rsidRDefault="00EA6F57" w:rsidP="00F64945"/>
        </w:tc>
        <w:tc>
          <w:tcPr>
            <w:tcW w:w="4995" w:type="dxa"/>
          </w:tcPr>
          <w:p w14:paraId="4D720E5E" w14:textId="77777777" w:rsidR="00EA6F57" w:rsidRPr="00482084" w:rsidRDefault="00EA6F57" w:rsidP="00F64945"/>
          <w:p w14:paraId="2B9E016B" w14:textId="77777777" w:rsidR="00EA6F57" w:rsidRPr="00482084" w:rsidRDefault="00EA6F57" w:rsidP="00F64945">
            <w:r w:rsidRPr="004C4CA7">
              <w:rPr>
                <w:b/>
                <w:color w:val="623BCB"/>
              </w:rPr>
              <w:t>E1</w:t>
            </w:r>
            <w:r w:rsidRPr="00482084">
              <w:t xml:space="preserve"> There is a suitable ratio of young people to music leaders (and other project staff where required). </w:t>
            </w:r>
          </w:p>
          <w:p w14:paraId="67A93478" w14:textId="77777777" w:rsidR="00EA6F57" w:rsidRPr="00482084" w:rsidRDefault="00EA6F57" w:rsidP="00F64945"/>
          <w:p w14:paraId="614ECE30" w14:textId="77777777" w:rsidR="00EA6F57" w:rsidRPr="00482084" w:rsidRDefault="00EA6F57" w:rsidP="00F64945">
            <w:r w:rsidRPr="004C4CA7">
              <w:rPr>
                <w:b/>
                <w:color w:val="623BCB"/>
              </w:rPr>
              <w:t>E2</w:t>
            </w:r>
            <w:r w:rsidRPr="00482084">
              <w:t xml:space="preserve"> Consideration has been given to the physical space, with available resources </w:t>
            </w:r>
            <w:r w:rsidRPr="00482084">
              <w:lastRenderedPageBreak/>
              <w:t xml:space="preserve">being best used to make it accessible and appropriate for the target group.  </w:t>
            </w:r>
          </w:p>
          <w:p w14:paraId="2748E52D" w14:textId="77777777" w:rsidR="00EA6F57" w:rsidRPr="00482084" w:rsidRDefault="00EA6F57" w:rsidP="00F64945"/>
          <w:p w14:paraId="328CABBE" w14:textId="77777777" w:rsidR="00EA6F57" w:rsidRPr="00482084" w:rsidRDefault="00EA6F57" w:rsidP="00F64945">
            <w:r w:rsidRPr="004C4CA7">
              <w:rPr>
                <w:b/>
                <w:color w:val="623BCB"/>
              </w:rPr>
              <w:t>E3</w:t>
            </w:r>
            <w:r w:rsidRPr="00482084">
              <w:rPr>
                <w:b/>
                <w:color w:val="A70063"/>
              </w:rPr>
              <w:t xml:space="preserve"> </w:t>
            </w:r>
            <w:r w:rsidRPr="00482084">
              <w:t>There are sufficient materials and equipment to support the activities.</w:t>
            </w:r>
          </w:p>
          <w:p w14:paraId="59A55AEF" w14:textId="77777777" w:rsidR="00EA6F57" w:rsidRPr="00482084" w:rsidRDefault="00EA6F57" w:rsidP="00F64945"/>
        </w:tc>
      </w:tr>
    </w:tbl>
    <w:p w14:paraId="6D90000B" w14:textId="77777777" w:rsidR="00B651D3" w:rsidRPr="00B651D3" w:rsidRDefault="00B651D3" w:rsidP="00F64945">
      <w:pPr>
        <w:rPr>
          <w:lang w:val="en-GB"/>
        </w:rPr>
      </w:pPr>
    </w:p>
    <w:p w14:paraId="4C62F381" w14:textId="0D0FCE12" w:rsidR="00EA6F57" w:rsidRDefault="00EA6F57" w:rsidP="00F64945"/>
    <w:p w14:paraId="7E163C03" w14:textId="77777777" w:rsidR="00B1643E" w:rsidRDefault="00B1643E" w:rsidP="00F64945">
      <w:pPr>
        <w:pStyle w:val="Heading1"/>
        <w:rPr>
          <w:lang w:val="en-GB"/>
        </w:rPr>
      </w:pPr>
      <w:bookmarkStart w:id="10" w:name="_klexpiyna9k1" w:colFirst="0" w:colLast="0"/>
      <w:bookmarkStart w:id="11" w:name="_Toc70436288"/>
      <w:bookmarkStart w:id="12" w:name="_Toc72855473"/>
      <w:bookmarkEnd w:id="10"/>
    </w:p>
    <w:p w14:paraId="1D633FAF" w14:textId="77777777" w:rsidR="00B1643E" w:rsidRDefault="00B1643E" w:rsidP="00F64945">
      <w:pPr>
        <w:pStyle w:val="Heading1"/>
        <w:rPr>
          <w:lang w:val="en-GB"/>
        </w:rPr>
      </w:pPr>
    </w:p>
    <w:p w14:paraId="1EB37B40" w14:textId="77777777" w:rsidR="00B1643E" w:rsidRDefault="00B1643E" w:rsidP="00F64945">
      <w:pPr>
        <w:pStyle w:val="Heading1"/>
        <w:rPr>
          <w:lang w:val="en-GB"/>
        </w:rPr>
      </w:pPr>
    </w:p>
    <w:p w14:paraId="235CC1B8" w14:textId="38806C16" w:rsidR="00B1643E" w:rsidRDefault="00B1643E" w:rsidP="00F64945">
      <w:pPr>
        <w:pStyle w:val="Heading1"/>
        <w:rPr>
          <w:lang w:val="en-GB"/>
        </w:rPr>
      </w:pPr>
    </w:p>
    <w:p w14:paraId="31BF6355" w14:textId="16527778" w:rsidR="00B1643E" w:rsidRDefault="00B1643E" w:rsidP="00B1643E">
      <w:pPr>
        <w:rPr>
          <w:lang w:val="en-GB"/>
        </w:rPr>
      </w:pPr>
    </w:p>
    <w:p w14:paraId="74BDE3EC" w14:textId="77777777" w:rsidR="00B1643E" w:rsidRPr="00B1643E" w:rsidRDefault="00B1643E" w:rsidP="00B1643E">
      <w:pPr>
        <w:rPr>
          <w:lang w:val="en-GB"/>
        </w:rPr>
      </w:pPr>
    </w:p>
    <w:p w14:paraId="1326A4CA" w14:textId="668BFC59" w:rsidR="00D23B40" w:rsidRPr="00300557" w:rsidRDefault="006A615E" w:rsidP="00F64945">
      <w:pPr>
        <w:pStyle w:val="Heading1"/>
        <w:rPr>
          <w:lang w:val="en-GB"/>
        </w:rPr>
      </w:pPr>
      <w:r w:rsidRPr="00300557">
        <w:rPr>
          <w:lang w:val="en-GB"/>
        </w:rPr>
        <w:lastRenderedPageBreak/>
        <w:t>Part 1: Organisational responsibilities criteria</w:t>
      </w:r>
      <w:bookmarkEnd w:id="11"/>
      <w:bookmarkEnd w:id="12"/>
    </w:p>
    <w:p w14:paraId="4AE1791B" w14:textId="30317C8C" w:rsidR="00D23B40" w:rsidRPr="00570276" w:rsidRDefault="006A615E" w:rsidP="00F64945">
      <w:pPr>
        <w:pStyle w:val="Heading2"/>
      </w:pPr>
      <w:bookmarkStart w:id="13" w:name="_a4cig81u5bgd" w:colFirst="0" w:colLast="0"/>
      <w:bookmarkStart w:id="14" w:name="_Toc70436289"/>
      <w:bookmarkStart w:id="15" w:name="_Toc72855474"/>
      <w:bookmarkEnd w:id="13"/>
      <w:r w:rsidRPr="00570276">
        <w:t>Health and safety of all</w:t>
      </w:r>
      <w:bookmarkEnd w:id="14"/>
      <w:bookmarkEnd w:id="15"/>
    </w:p>
    <w:p w14:paraId="46EFDBFF" w14:textId="706D8269" w:rsidR="00D23B40" w:rsidRPr="004C4CA7" w:rsidRDefault="006A615E" w:rsidP="004C4CA7">
      <w:pPr>
        <w:pStyle w:val="Heading3"/>
      </w:pPr>
      <w:bookmarkStart w:id="16" w:name="_Toc70436290"/>
      <w:r w:rsidRPr="004C4CA7">
        <w:t>H1 Appropriate Health and Safety policies and procedures are in place.</w:t>
      </w:r>
      <w:bookmarkEnd w:id="16"/>
      <w:r w:rsidRPr="004C4CA7">
        <w:t xml:space="preserve"> </w:t>
      </w:r>
    </w:p>
    <w:p w14:paraId="7AD7A1A5" w14:textId="77777777" w:rsidR="00D23B40" w:rsidRPr="00300557" w:rsidRDefault="00D23B40" w:rsidP="00F64945">
      <w:pPr>
        <w:rPr>
          <w:lang w:val="en-GB"/>
        </w:rPr>
      </w:pPr>
    </w:p>
    <w:p w14:paraId="3B2DE1E5" w14:textId="1F47BAB1" w:rsidR="004458C6" w:rsidRDefault="004458C6" w:rsidP="00F64945">
      <w:pPr>
        <w:rPr>
          <w:lang w:val="en-GB"/>
        </w:rPr>
      </w:pPr>
      <w:r w:rsidRPr="00093E70">
        <w:rPr>
          <w:lang w:val="en-GB"/>
        </w:rPr>
        <w:t>R</w:t>
      </w:r>
      <w:r w:rsidR="006A615E" w:rsidRPr="00093E70">
        <w:rPr>
          <w:lang w:val="en-GB"/>
        </w:rPr>
        <w:t>isk</w:t>
      </w:r>
      <w:r w:rsidRPr="00093E70">
        <w:rPr>
          <w:lang w:val="en-GB"/>
        </w:rPr>
        <w:t xml:space="preserve"> assessment</w:t>
      </w:r>
      <w:r w:rsidR="00E619DD" w:rsidRPr="00093E70">
        <w:rPr>
          <w:lang w:val="en-GB"/>
        </w:rPr>
        <w:t>s</w:t>
      </w:r>
      <w:r w:rsidR="006A615E" w:rsidRPr="00093E70">
        <w:rPr>
          <w:lang w:val="en-GB"/>
        </w:rPr>
        <w:t xml:space="preserve"> </w:t>
      </w:r>
      <w:r w:rsidRPr="00093E70">
        <w:rPr>
          <w:lang w:val="en-GB"/>
        </w:rPr>
        <w:t xml:space="preserve">should be </w:t>
      </w:r>
      <w:proofErr w:type="gramStart"/>
      <w:r w:rsidRPr="00093E70">
        <w:rPr>
          <w:lang w:val="en-GB"/>
        </w:rPr>
        <w:t>bespoke</w:t>
      </w:r>
      <w:proofErr w:type="gramEnd"/>
      <w:r w:rsidRPr="00093E70">
        <w:rPr>
          <w:lang w:val="en-GB"/>
        </w:rPr>
        <w:t xml:space="preserve"> to </w:t>
      </w:r>
      <w:r w:rsidR="006A615E" w:rsidRPr="00093E70">
        <w:rPr>
          <w:lang w:val="en-GB"/>
        </w:rPr>
        <w:t>online activity. Considerations should include the types of activities being undertaken in homes and if the physical space is safe</w:t>
      </w:r>
      <w:r w:rsidRPr="00093E70">
        <w:rPr>
          <w:lang w:val="en-GB"/>
        </w:rPr>
        <w:t>.</w:t>
      </w:r>
    </w:p>
    <w:p w14:paraId="1DD1D8AB" w14:textId="77777777" w:rsidR="00BE250C" w:rsidRPr="00093E70" w:rsidRDefault="00BE250C" w:rsidP="00F64945">
      <w:pPr>
        <w:rPr>
          <w:lang w:val="en-GB"/>
        </w:rPr>
      </w:pPr>
    </w:p>
    <w:tbl>
      <w:tblPr>
        <w:tblStyle w:val="TableGrid"/>
        <w:tblW w:w="0" w:type="auto"/>
        <w:tblLook w:val="04A0" w:firstRow="1" w:lastRow="0" w:firstColumn="1" w:lastColumn="0" w:noHBand="0" w:noVBand="1"/>
      </w:tblPr>
      <w:tblGrid>
        <w:gridCol w:w="10790"/>
      </w:tblGrid>
      <w:tr w:rsidR="00BE250C" w14:paraId="7AC7E6CF" w14:textId="77777777" w:rsidTr="00BE250C">
        <w:trPr>
          <w:trHeight w:val="625"/>
        </w:trPr>
        <w:tc>
          <w:tcPr>
            <w:tcW w:w="10790" w:type="dxa"/>
          </w:tcPr>
          <w:p w14:paraId="48297DB2" w14:textId="62868536" w:rsidR="00BE250C" w:rsidRPr="00BE250C" w:rsidRDefault="00BE250C" w:rsidP="00F64945">
            <w:r w:rsidRPr="00BE250C">
              <w:t xml:space="preserve">Example: An online session involves lots of movement. Staff raise this with participants before the activity begins and make sure that their space is clear. </w:t>
            </w:r>
          </w:p>
        </w:tc>
      </w:tr>
    </w:tbl>
    <w:p w14:paraId="2FEC15A2" w14:textId="38DD5D19" w:rsidR="004458C6" w:rsidRPr="00093E70" w:rsidRDefault="004458C6" w:rsidP="00F64945">
      <w:pPr>
        <w:rPr>
          <w:lang w:val="en-GB"/>
        </w:rPr>
      </w:pPr>
    </w:p>
    <w:p w14:paraId="764666E3" w14:textId="3AA05CD3" w:rsidR="00D23B40" w:rsidRPr="004C4CA7" w:rsidRDefault="006A615E" w:rsidP="004C4CA7">
      <w:pPr>
        <w:pStyle w:val="Heading3"/>
      </w:pPr>
      <w:bookmarkStart w:id="17" w:name="_Toc70436291"/>
      <w:r w:rsidRPr="004C4CA7">
        <w:t>H2 A Safeguarding and Child Protection policy is in place to protect the welfare of young people and staff (including conducting Disclosure and Barring Service checks).</w:t>
      </w:r>
      <w:bookmarkEnd w:id="17"/>
    </w:p>
    <w:p w14:paraId="7D3B6019" w14:textId="77777777" w:rsidR="007F6D02" w:rsidRDefault="007F6D02" w:rsidP="00F64945">
      <w:pPr>
        <w:rPr>
          <w:lang w:val="en-GB"/>
        </w:rPr>
      </w:pPr>
    </w:p>
    <w:p w14:paraId="4A51BD2E" w14:textId="0678B617" w:rsidR="009172D5" w:rsidRPr="00093E70" w:rsidRDefault="007F6D02" w:rsidP="00F64945">
      <w:pPr>
        <w:rPr>
          <w:lang w:val="en-GB"/>
        </w:rPr>
      </w:pPr>
      <w:r w:rsidRPr="00093E70">
        <w:rPr>
          <w:lang w:val="en-GB"/>
        </w:rPr>
        <w:t xml:space="preserve">Please </w:t>
      </w:r>
      <w:r w:rsidR="001A2A3D" w:rsidRPr="00093E70">
        <w:rPr>
          <w:lang w:val="en-GB"/>
        </w:rPr>
        <w:t xml:space="preserve">see this </w:t>
      </w:r>
      <w:hyperlink r:id="rId10" w:history="1">
        <w:r w:rsidR="001A2A3D" w:rsidRPr="00093E70">
          <w:rPr>
            <w:rStyle w:val="Hyperlink"/>
            <w:lang w:val="en-GB"/>
          </w:rPr>
          <w:t>blog post on safeguarding considerations when moving work online</w:t>
        </w:r>
      </w:hyperlink>
      <w:r w:rsidR="001A2A3D" w:rsidRPr="00093E70">
        <w:rPr>
          <w:lang w:val="en-GB"/>
        </w:rPr>
        <w:t>.</w:t>
      </w:r>
    </w:p>
    <w:p w14:paraId="402A671C" w14:textId="77777777" w:rsidR="001A2A3D" w:rsidRPr="00093E70" w:rsidRDefault="001A2A3D" w:rsidP="00F64945">
      <w:pPr>
        <w:rPr>
          <w:lang w:val="en-GB"/>
        </w:rPr>
      </w:pPr>
    </w:p>
    <w:p w14:paraId="0803C218" w14:textId="6BD0003A" w:rsidR="00D23B40" w:rsidRPr="00093E70" w:rsidRDefault="009172D5" w:rsidP="00F64945">
      <w:pPr>
        <w:rPr>
          <w:lang w:val="en-GB"/>
        </w:rPr>
      </w:pPr>
      <w:r w:rsidRPr="00093E70">
        <w:rPr>
          <w:lang w:val="en-GB"/>
        </w:rPr>
        <w:t xml:space="preserve">NYMAZ have developed a range of </w:t>
      </w:r>
      <w:hyperlink r:id="rId11" w:history="1">
        <w:r w:rsidRPr="00093E70">
          <w:rPr>
            <w:rStyle w:val="Hyperlink"/>
            <w:lang w:val="en-GB"/>
          </w:rPr>
          <w:t>resources to support organisations</w:t>
        </w:r>
        <w:r w:rsidR="006A615E" w:rsidRPr="00093E70">
          <w:rPr>
            <w:rStyle w:val="Hyperlink"/>
            <w:lang w:val="en-GB"/>
          </w:rPr>
          <w:t xml:space="preserve"> </w:t>
        </w:r>
        <w:r w:rsidR="001A2A3D" w:rsidRPr="00093E70">
          <w:rPr>
            <w:rStyle w:val="Hyperlink"/>
            <w:lang w:val="en-GB"/>
          </w:rPr>
          <w:t>with online safeguarding.</w:t>
        </w:r>
      </w:hyperlink>
    </w:p>
    <w:p w14:paraId="6229242B" w14:textId="77777777" w:rsidR="00B878F0" w:rsidRDefault="00B878F0" w:rsidP="00F64945">
      <w:pPr>
        <w:rPr>
          <w:sz w:val="32"/>
          <w:szCs w:val="32"/>
          <w:lang w:val="en-GB"/>
        </w:rPr>
      </w:pPr>
      <w:bookmarkStart w:id="18" w:name="_jtsi6hrqksl" w:colFirst="0" w:colLast="0"/>
      <w:bookmarkEnd w:id="18"/>
      <w:r>
        <w:rPr>
          <w:lang w:val="en-GB"/>
        </w:rPr>
        <w:br w:type="page"/>
      </w:r>
    </w:p>
    <w:p w14:paraId="1339C872" w14:textId="106F4005" w:rsidR="00D23B40" w:rsidRPr="00570276" w:rsidRDefault="006A615E" w:rsidP="00F64945">
      <w:pPr>
        <w:pStyle w:val="Heading2"/>
      </w:pPr>
      <w:bookmarkStart w:id="19" w:name="_Toc70436292"/>
      <w:bookmarkStart w:id="20" w:name="_Toc72855475"/>
      <w:r w:rsidRPr="00570276">
        <w:lastRenderedPageBreak/>
        <w:t>Contracting and support for music leaders</w:t>
      </w:r>
      <w:bookmarkEnd w:id="19"/>
      <w:bookmarkEnd w:id="20"/>
    </w:p>
    <w:p w14:paraId="5B127CDA" w14:textId="4ACBAF96" w:rsidR="00D23B40" w:rsidRPr="004C4CA7" w:rsidRDefault="006A615E" w:rsidP="004C4CA7">
      <w:pPr>
        <w:pStyle w:val="Heading3"/>
      </w:pPr>
      <w:bookmarkStart w:id="21" w:name="_Toc70436293"/>
      <w:r w:rsidRPr="004C4CA7">
        <w:t>C1 Contracts include time for structured reflection and evaluation activities with key staff or volunteers involved in planning and delivery.</w:t>
      </w:r>
      <w:bookmarkEnd w:id="21"/>
    </w:p>
    <w:p w14:paraId="6F4C90A8" w14:textId="04E44A5D" w:rsidR="00D23B40" w:rsidRPr="00300557" w:rsidRDefault="00D23B40" w:rsidP="00F64945">
      <w:pPr>
        <w:rPr>
          <w:lang w:val="en-GB"/>
        </w:rPr>
      </w:pPr>
    </w:p>
    <w:p w14:paraId="16F38B18" w14:textId="767FDBD4" w:rsidR="00D23B40" w:rsidRPr="00093E70" w:rsidRDefault="006A615E" w:rsidP="00F64945">
      <w:pPr>
        <w:rPr>
          <w:lang w:val="en-GB"/>
        </w:rPr>
      </w:pPr>
      <w:r w:rsidRPr="00093E70">
        <w:rPr>
          <w:lang w:val="en-GB"/>
        </w:rPr>
        <w:t xml:space="preserve">In an online setting staff often lose the opportunity to discuss ideas </w:t>
      </w:r>
      <w:r w:rsidR="009966DA" w:rsidRPr="00093E70">
        <w:rPr>
          <w:lang w:val="en-GB"/>
        </w:rPr>
        <w:t>and</w:t>
      </w:r>
      <w:r w:rsidRPr="00093E70">
        <w:rPr>
          <w:lang w:val="en-GB"/>
        </w:rPr>
        <w:t xml:space="preserve"> reflect during </w:t>
      </w:r>
      <w:r w:rsidR="002E4359" w:rsidRPr="00093E70">
        <w:rPr>
          <w:lang w:val="en-GB"/>
        </w:rPr>
        <w:t>set-up</w:t>
      </w:r>
      <w:r w:rsidRPr="00093E70">
        <w:rPr>
          <w:lang w:val="en-GB"/>
        </w:rPr>
        <w:t xml:space="preserve"> or pack down, so </w:t>
      </w:r>
      <w:r w:rsidR="00122E6E">
        <w:rPr>
          <w:lang w:val="en-GB"/>
        </w:rPr>
        <w:t>extra</w:t>
      </w:r>
      <w:r w:rsidRPr="00093E70">
        <w:rPr>
          <w:lang w:val="en-GB"/>
        </w:rPr>
        <w:t xml:space="preserve"> time might be </w:t>
      </w:r>
      <w:r w:rsidR="007636FA" w:rsidRPr="00093E70">
        <w:rPr>
          <w:lang w:val="en-GB"/>
        </w:rPr>
        <w:t xml:space="preserve">needed </w:t>
      </w:r>
      <w:r w:rsidR="00A87473" w:rsidRPr="00093E70">
        <w:rPr>
          <w:lang w:val="en-GB"/>
        </w:rPr>
        <w:t xml:space="preserve">in contracts </w:t>
      </w:r>
      <w:r w:rsidR="007636FA" w:rsidRPr="00093E70">
        <w:rPr>
          <w:lang w:val="en-GB"/>
        </w:rPr>
        <w:t>for both planning and reflection</w:t>
      </w:r>
      <w:r w:rsidRPr="00093E70">
        <w:rPr>
          <w:lang w:val="en-GB"/>
        </w:rPr>
        <w:t xml:space="preserve">. </w:t>
      </w:r>
    </w:p>
    <w:p w14:paraId="7FEB15F4" w14:textId="77777777" w:rsidR="00E75A26" w:rsidRPr="00093E70" w:rsidRDefault="00E75A26" w:rsidP="00F64945">
      <w:pPr>
        <w:rPr>
          <w:lang w:val="en-GB"/>
        </w:rPr>
      </w:pPr>
    </w:p>
    <w:p w14:paraId="650A98B8" w14:textId="77777777" w:rsidR="00D23B40" w:rsidRPr="00093E70" w:rsidRDefault="006A615E" w:rsidP="00F64945">
      <w:pPr>
        <w:rPr>
          <w:lang w:val="en-GB"/>
        </w:rPr>
      </w:pPr>
      <w:r w:rsidRPr="00093E70">
        <w:rPr>
          <w:lang w:val="en-GB"/>
        </w:rPr>
        <w:t xml:space="preserve">Extra time may be needed for the following: </w:t>
      </w:r>
    </w:p>
    <w:p w14:paraId="6291BC6F" w14:textId="464B4F37" w:rsidR="00D23B40" w:rsidRPr="003E5849" w:rsidRDefault="00E75A26" w:rsidP="00F64945">
      <w:pPr>
        <w:pStyle w:val="ListParagraph"/>
        <w:numPr>
          <w:ilvl w:val="0"/>
          <w:numId w:val="10"/>
        </w:numPr>
        <w:rPr>
          <w:lang w:val="en-GB"/>
        </w:rPr>
      </w:pPr>
      <w:r w:rsidRPr="003E5849">
        <w:rPr>
          <w:lang w:val="en-GB"/>
        </w:rPr>
        <w:t>Contingency planning for</w:t>
      </w:r>
      <w:r w:rsidR="006A615E" w:rsidRPr="003E5849">
        <w:rPr>
          <w:lang w:val="en-GB"/>
        </w:rPr>
        <w:t xml:space="preserve"> </w:t>
      </w:r>
      <w:r w:rsidR="0012139D">
        <w:rPr>
          <w:lang w:val="en-GB"/>
        </w:rPr>
        <w:t xml:space="preserve">connectivity </w:t>
      </w:r>
      <w:r w:rsidR="006A615E" w:rsidRPr="003E5849">
        <w:rPr>
          <w:lang w:val="en-GB"/>
        </w:rPr>
        <w:t xml:space="preserve">issues.  </w:t>
      </w:r>
    </w:p>
    <w:p w14:paraId="0BF6D641" w14:textId="12153318" w:rsidR="00D23B40" w:rsidRPr="003E5849" w:rsidRDefault="00A01AFA" w:rsidP="00F64945">
      <w:pPr>
        <w:pStyle w:val="ListParagraph"/>
        <w:numPr>
          <w:ilvl w:val="0"/>
          <w:numId w:val="10"/>
        </w:numPr>
        <w:rPr>
          <w:lang w:val="en-GB"/>
        </w:rPr>
      </w:pPr>
      <w:r>
        <w:rPr>
          <w:lang w:val="en-GB"/>
        </w:rPr>
        <w:t>Work</w:t>
      </w:r>
      <w:r w:rsidR="006A615E" w:rsidRPr="003E5849">
        <w:rPr>
          <w:lang w:val="en-GB"/>
        </w:rPr>
        <w:t xml:space="preserve"> between sessions to bring together music created by participants. </w:t>
      </w:r>
    </w:p>
    <w:p w14:paraId="17862C9F" w14:textId="0C661AC7" w:rsidR="00D23B40" w:rsidRPr="003E5849" w:rsidRDefault="00071C50" w:rsidP="00F64945">
      <w:pPr>
        <w:pStyle w:val="ListParagraph"/>
        <w:numPr>
          <w:ilvl w:val="0"/>
          <w:numId w:val="10"/>
        </w:numPr>
        <w:rPr>
          <w:lang w:val="en-GB"/>
        </w:rPr>
      </w:pPr>
      <w:r w:rsidRPr="003E5849">
        <w:rPr>
          <w:lang w:val="en-GB"/>
        </w:rPr>
        <w:t>Uploading</w:t>
      </w:r>
      <w:r w:rsidR="006A615E" w:rsidRPr="003E5849">
        <w:rPr>
          <w:lang w:val="en-GB"/>
        </w:rPr>
        <w:t xml:space="preserve"> music </w:t>
      </w:r>
      <w:r w:rsidR="0045516A" w:rsidRPr="003E5849">
        <w:rPr>
          <w:lang w:val="en-GB"/>
        </w:rPr>
        <w:t xml:space="preserve">and resources </w:t>
      </w:r>
      <w:r w:rsidR="006A615E" w:rsidRPr="003E5849">
        <w:rPr>
          <w:lang w:val="en-GB"/>
        </w:rPr>
        <w:t xml:space="preserve">into sharable formats and websites to make the materials accessible outside of sessions. </w:t>
      </w:r>
    </w:p>
    <w:p w14:paraId="329DD163" w14:textId="5A469836" w:rsidR="00D23B40" w:rsidRPr="003E5849" w:rsidRDefault="0045516A" w:rsidP="00F64945">
      <w:pPr>
        <w:pStyle w:val="ListParagraph"/>
        <w:numPr>
          <w:ilvl w:val="0"/>
          <w:numId w:val="10"/>
        </w:numPr>
        <w:rPr>
          <w:lang w:val="en-GB"/>
        </w:rPr>
      </w:pPr>
      <w:r w:rsidRPr="003E5849">
        <w:rPr>
          <w:lang w:val="en-GB"/>
        </w:rPr>
        <w:t>Creating</w:t>
      </w:r>
      <w:r w:rsidR="006A615E" w:rsidRPr="003E5849">
        <w:rPr>
          <w:lang w:val="en-GB"/>
        </w:rPr>
        <w:t xml:space="preserve"> additional resources and approaches that may not have been required when delivering face</w:t>
      </w:r>
      <w:r w:rsidR="00AC5A31" w:rsidRPr="003E5849">
        <w:rPr>
          <w:lang w:val="en-GB"/>
        </w:rPr>
        <w:t>-</w:t>
      </w:r>
      <w:r w:rsidR="006A615E" w:rsidRPr="003E5849">
        <w:rPr>
          <w:lang w:val="en-GB"/>
        </w:rPr>
        <w:t>to</w:t>
      </w:r>
      <w:r w:rsidR="00AC5A31" w:rsidRPr="003E5849">
        <w:rPr>
          <w:lang w:val="en-GB"/>
        </w:rPr>
        <w:t>-</w:t>
      </w:r>
      <w:r w:rsidR="006A615E" w:rsidRPr="003E5849">
        <w:rPr>
          <w:lang w:val="en-GB"/>
        </w:rPr>
        <w:t>face. For example, developing</w:t>
      </w:r>
      <w:r w:rsidR="00381EC1">
        <w:rPr>
          <w:lang w:val="en-GB"/>
        </w:rPr>
        <w:t xml:space="preserve"> accessible</w:t>
      </w:r>
      <w:r w:rsidR="006A615E" w:rsidRPr="003E5849">
        <w:rPr>
          <w:lang w:val="en-GB"/>
        </w:rPr>
        <w:t xml:space="preserve"> approaches to technology</w:t>
      </w:r>
      <w:r w:rsidR="00326F9B" w:rsidRPr="003E5849">
        <w:rPr>
          <w:lang w:val="en-GB"/>
        </w:rPr>
        <w:t>.</w:t>
      </w:r>
    </w:p>
    <w:p w14:paraId="28AF611C" w14:textId="3B333588" w:rsidR="00D23B40" w:rsidRPr="004C4CA7" w:rsidRDefault="006A615E" w:rsidP="004C4CA7">
      <w:pPr>
        <w:pStyle w:val="Heading3"/>
      </w:pPr>
      <w:bookmarkStart w:id="22" w:name="_Toc70436294"/>
      <w:r w:rsidRPr="004C4CA7">
        <w:t>C2 Contracts include clear expectations around music leader planning, including short, medium and long-term planning. Plans should be flexible and adaptable.</w:t>
      </w:r>
      <w:bookmarkEnd w:id="22"/>
    </w:p>
    <w:p w14:paraId="6B2D3B26" w14:textId="625B8C8D" w:rsidR="00D23B40" w:rsidRPr="004C4CA7" w:rsidRDefault="006A615E" w:rsidP="004C4CA7">
      <w:pPr>
        <w:pStyle w:val="Heading3"/>
      </w:pPr>
      <w:bookmarkStart w:id="23" w:name="_Toc70436295"/>
      <w:r w:rsidRPr="004C4CA7">
        <w:t>C3 Roles and responsibilities of all those involved in the planning and delivery of sessions are clearly outlined.</w:t>
      </w:r>
      <w:bookmarkEnd w:id="23"/>
    </w:p>
    <w:p w14:paraId="414301B0" w14:textId="77777777" w:rsidR="00D23B40" w:rsidRPr="00300557" w:rsidRDefault="00D23B40" w:rsidP="00F64945">
      <w:pPr>
        <w:rPr>
          <w:lang w:val="en-GB"/>
        </w:rPr>
      </w:pPr>
    </w:p>
    <w:p w14:paraId="6CE61181" w14:textId="01AFFE80" w:rsidR="00776912" w:rsidRDefault="006A615E" w:rsidP="00F64945">
      <w:pPr>
        <w:rPr>
          <w:lang w:val="en-GB"/>
        </w:rPr>
      </w:pPr>
      <w:r w:rsidRPr="00316C65">
        <w:rPr>
          <w:lang w:val="en-GB"/>
        </w:rPr>
        <w:t xml:space="preserve">Online sessions </w:t>
      </w:r>
      <w:r w:rsidR="0064007B" w:rsidRPr="00316C65">
        <w:rPr>
          <w:lang w:val="en-GB"/>
        </w:rPr>
        <w:t xml:space="preserve">often </w:t>
      </w:r>
      <w:r w:rsidRPr="00316C65">
        <w:rPr>
          <w:lang w:val="en-GB"/>
        </w:rPr>
        <w:t>require a</w:t>
      </w:r>
      <w:r w:rsidR="00201F12">
        <w:rPr>
          <w:lang w:val="en-GB"/>
        </w:rPr>
        <w:t xml:space="preserve"> </w:t>
      </w:r>
      <w:r w:rsidRPr="00316C65">
        <w:rPr>
          <w:lang w:val="en-GB"/>
        </w:rPr>
        <w:t>‘host’</w:t>
      </w:r>
      <w:r w:rsidR="0064007B" w:rsidRPr="00316C65">
        <w:rPr>
          <w:lang w:val="en-GB"/>
        </w:rPr>
        <w:t xml:space="preserve"> to </w:t>
      </w:r>
      <w:r w:rsidR="00B32B13">
        <w:rPr>
          <w:lang w:val="en-GB"/>
        </w:rPr>
        <w:t>administer</w:t>
      </w:r>
      <w:r w:rsidR="0064007B" w:rsidRPr="00316C65">
        <w:rPr>
          <w:lang w:val="en-GB"/>
        </w:rPr>
        <w:t xml:space="preserve"> the session and </w:t>
      </w:r>
      <w:r w:rsidR="00B32B13">
        <w:rPr>
          <w:lang w:val="en-GB"/>
        </w:rPr>
        <w:t>fulfil</w:t>
      </w:r>
      <w:r w:rsidR="0064007B" w:rsidRPr="00316C65">
        <w:rPr>
          <w:lang w:val="en-GB"/>
        </w:rPr>
        <w:t xml:space="preserve"> </w:t>
      </w:r>
      <w:r w:rsidRPr="00316C65">
        <w:rPr>
          <w:lang w:val="en-GB"/>
        </w:rPr>
        <w:t>safeguarding</w:t>
      </w:r>
      <w:r w:rsidR="0064007B" w:rsidRPr="00316C65">
        <w:rPr>
          <w:lang w:val="en-GB"/>
        </w:rPr>
        <w:t xml:space="preserve"> responsibilities. This ensures that the music leader </w:t>
      </w:r>
      <w:r w:rsidR="006B6AB7" w:rsidRPr="00316C65">
        <w:rPr>
          <w:lang w:val="en-GB"/>
        </w:rPr>
        <w:t xml:space="preserve">can </w:t>
      </w:r>
      <w:r w:rsidR="0064007B" w:rsidRPr="00316C65">
        <w:rPr>
          <w:lang w:val="en-GB"/>
        </w:rPr>
        <w:t xml:space="preserve">focus on the music activity. </w:t>
      </w:r>
    </w:p>
    <w:p w14:paraId="47B47083" w14:textId="77777777" w:rsidR="00776912" w:rsidRDefault="00776912" w:rsidP="00F64945">
      <w:pPr>
        <w:rPr>
          <w:lang w:val="en-GB"/>
        </w:rPr>
      </w:pPr>
    </w:p>
    <w:p w14:paraId="74328E65" w14:textId="513A6152" w:rsidR="0064007B" w:rsidRPr="00316C65" w:rsidRDefault="0064007B" w:rsidP="00F64945">
      <w:pPr>
        <w:rPr>
          <w:lang w:val="en-GB"/>
        </w:rPr>
      </w:pPr>
      <w:r w:rsidRPr="00316C65">
        <w:rPr>
          <w:lang w:val="en-GB"/>
        </w:rPr>
        <w:t xml:space="preserve">The host’s role includes </w:t>
      </w:r>
      <w:r w:rsidR="006A615E" w:rsidRPr="00316C65">
        <w:rPr>
          <w:lang w:val="en-GB"/>
        </w:rPr>
        <w:t>manage</w:t>
      </w:r>
      <w:r w:rsidRPr="00316C65">
        <w:rPr>
          <w:lang w:val="en-GB"/>
        </w:rPr>
        <w:t>ment of</w:t>
      </w:r>
      <w:r w:rsidR="006A615E" w:rsidRPr="00316C65">
        <w:rPr>
          <w:lang w:val="en-GB"/>
        </w:rPr>
        <w:t xml:space="preserve"> the learning environment</w:t>
      </w:r>
      <w:r w:rsidR="00853A26" w:rsidRPr="00316C65">
        <w:rPr>
          <w:lang w:val="en-GB"/>
        </w:rPr>
        <w:t>,</w:t>
      </w:r>
      <w:r w:rsidR="006A615E" w:rsidRPr="00316C65">
        <w:rPr>
          <w:lang w:val="en-GB"/>
        </w:rPr>
        <w:t xml:space="preserve"> for example waiting rooms, breakout rooms, </w:t>
      </w:r>
      <w:r w:rsidRPr="00316C65">
        <w:rPr>
          <w:lang w:val="en-GB"/>
        </w:rPr>
        <w:t xml:space="preserve">and </w:t>
      </w:r>
      <w:r w:rsidR="006A615E" w:rsidRPr="00316C65">
        <w:rPr>
          <w:lang w:val="en-GB"/>
        </w:rPr>
        <w:t xml:space="preserve">monitoring </w:t>
      </w:r>
      <w:r w:rsidRPr="00316C65">
        <w:rPr>
          <w:lang w:val="en-GB"/>
        </w:rPr>
        <w:t xml:space="preserve">the </w:t>
      </w:r>
      <w:r w:rsidR="006A615E" w:rsidRPr="00316C65">
        <w:rPr>
          <w:lang w:val="en-GB"/>
        </w:rPr>
        <w:t>chat function.</w:t>
      </w:r>
      <w:r w:rsidRPr="00316C65">
        <w:rPr>
          <w:lang w:val="en-GB"/>
        </w:rPr>
        <w:t xml:space="preserve"> Sessions may also require an additional music leader to monitor participants’ engagement and spot when someone might be having technical difficulties.</w:t>
      </w:r>
    </w:p>
    <w:p w14:paraId="643854C8" w14:textId="77777777" w:rsidR="00853A26" w:rsidRPr="00316C65" w:rsidRDefault="00853A26" w:rsidP="00F64945">
      <w:pPr>
        <w:rPr>
          <w:lang w:val="en-GB"/>
        </w:rPr>
      </w:pPr>
    </w:p>
    <w:p w14:paraId="1D939C3B" w14:textId="05B257F4" w:rsidR="00853A26" w:rsidRPr="00316C65" w:rsidRDefault="00853A26" w:rsidP="00F64945">
      <w:pPr>
        <w:rPr>
          <w:lang w:val="en-GB"/>
        </w:rPr>
      </w:pPr>
      <w:r w:rsidRPr="00316C65">
        <w:rPr>
          <w:lang w:val="en-GB"/>
        </w:rPr>
        <w:t xml:space="preserve">Organisations should consider sharing guidelines on project staff’s roles and responsibilities with parents and guardians. </w:t>
      </w:r>
      <w:r w:rsidR="00DA34CF" w:rsidRPr="00316C65">
        <w:rPr>
          <w:lang w:val="en-GB"/>
        </w:rPr>
        <w:t xml:space="preserve">This can help </w:t>
      </w:r>
      <w:r w:rsidR="00201F12">
        <w:rPr>
          <w:lang w:val="en-GB"/>
        </w:rPr>
        <w:t>prevent</w:t>
      </w:r>
      <w:r w:rsidR="00DA34CF" w:rsidRPr="00316C65">
        <w:rPr>
          <w:lang w:val="en-GB"/>
        </w:rPr>
        <w:t xml:space="preserve"> unrealistic demands being placed on music leaders’ time</w:t>
      </w:r>
      <w:r w:rsidR="00B54D4E" w:rsidRPr="00316C65">
        <w:rPr>
          <w:lang w:val="en-GB"/>
        </w:rPr>
        <w:t>, which can sometimes be a consequence of moving sessions online</w:t>
      </w:r>
      <w:r w:rsidR="00DA34CF" w:rsidRPr="00316C65">
        <w:rPr>
          <w:lang w:val="en-GB"/>
        </w:rPr>
        <w:t>.</w:t>
      </w:r>
    </w:p>
    <w:p w14:paraId="55C29455" w14:textId="77777777" w:rsidR="00D23B40" w:rsidRPr="00300557" w:rsidRDefault="00D23B40" w:rsidP="00F64945">
      <w:pPr>
        <w:rPr>
          <w:lang w:val="en-GB"/>
        </w:rPr>
      </w:pPr>
    </w:p>
    <w:p w14:paraId="24C163DC" w14:textId="16450302" w:rsidR="00D23B40" w:rsidRPr="004C4CA7" w:rsidRDefault="006A615E" w:rsidP="004C4CA7">
      <w:pPr>
        <w:pStyle w:val="Heading3"/>
      </w:pPr>
      <w:bookmarkStart w:id="24" w:name="_Toc70436296"/>
      <w:r w:rsidRPr="004C4CA7">
        <w:lastRenderedPageBreak/>
        <w:t>C4 Organisations support the emotional wellbeing of staff with regular catch-up/supervision sessions</w:t>
      </w:r>
      <w:bookmarkEnd w:id="24"/>
    </w:p>
    <w:p w14:paraId="2A20C6BD" w14:textId="30E5A2FF" w:rsidR="00D23B40" w:rsidRDefault="00D23B40" w:rsidP="00F64945">
      <w:pPr>
        <w:rPr>
          <w:lang w:val="en-GB"/>
        </w:rPr>
      </w:pPr>
    </w:p>
    <w:p w14:paraId="22442B6A" w14:textId="33E5737A" w:rsidR="00B34F8A" w:rsidRPr="00B34F8A" w:rsidRDefault="00B34F8A" w:rsidP="00F64945">
      <w:pPr>
        <w:rPr>
          <w:lang w:val="en-GB"/>
        </w:rPr>
      </w:pPr>
      <w:r w:rsidRPr="00B34F8A">
        <w:rPr>
          <w:lang w:val="en-GB"/>
        </w:rPr>
        <w:t xml:space="preserve">Organisations should </w:t>
      </w:r>
      <w:r w:rsidRPr="002B276C">
        <w:rPr>
          <w:lang w:val="en-GB"/>
        </w:rPr>
        <w:t>be mindful</w:t>
      </w:r>
      <w:r w:rsidRPr="00B34F8A">
        <w:rPr>
          <w:lang w:val="en-GB"/>
        </w:rPr>
        <w:t xml:space="preserve"> of the potential for increased isolation due to home working. Facilitators should be encouraged to maintain a healthy work-life balance and organisations should consider creating mechanisms for flagging any issues. </w:t>
      </w:r>
    </w:p>
    <w:p w14:paraId="74CA4B5E" w14:textId="77777777" w:rsidR="00B34F8A" w:rsidRPr="00300557" w:rsidRDefault="00B34F8A" w:rsidP="00F64945">
      <w:pPr>
        <w:rPr>
          <w:lang w:val="en-GB"/>
        </w:rPr>
      </w:pPr>
    </w:p>
    <w:p w14:paraId="6CCC00BF" w14:textId="01F851AD" w:rsidR="008867D2" w:rsidRDefault="007A613A" w:rsidP="00F64945">
      <w:pPr>
        <w:rPr>
          <w:lang w:val="en-GB"/>
        </w:rPr>
      </w:pPr>
      <w:r>
        <w:rPr>
          <w:lang w:val="en-GB"/>
        </w:rPr>
        <w:t>Staff should also be supported</w:t>
      </w:r>
      <w:r w:rsidR="00AF2221" w:rsidRPr="00B32B13">
        <w:rPr>
          <w:lang w:val="en-GB"/>
        </w:rPr>
        <w:t xml:space="preserve"> to take time away from a screen</w:t>
      </w:r>
      <w:r w:rsidR="008867D2">
        <w:rPr>
          <w:lang w:val="en-GB"/>
        </w:rPr>
        <w:t xml:space="preserve"> </w:t>
      </w:r>
      <w:r w:rsidR="002E5598">
        <w:rPr>
          <w:lang w:val="en-GB"/>
        </w:rPr>
        <w:t>by</w:t>
      </w:r>
      <w:r w:rsidR="008867D2">
        <w:rPr>
          <w:lang w:val="en-GB"/>
        </w:rPr>
        <w:t>:</w:t>
      </w:r>
    </w:p>
    <w:p w14:paraId="5532D70F" w14:textId="41F69985" w:rsidR="008867D2" w:rsidRDefault="00545CD0" w:rsidP="00F64945">
      <w:pPr>
        <w:pStyle w:val="ListParagraph"/>
        <w:numPr>
          <w:ilvl w:val="0"/>
          <w:numId w:val="11"/>
        </w:numPr>
        <w:rPr>
          <w:lang w:val="en-GB"/>
        </w:rPr>
      </w:pPr>
      <w:r>
        <w:rPr>
          <w:lang w:val="en-GB"/>
        </w:rPr>
        <w:t>p</w:t>
      </w:r>
      <w:r w:rsidR="002E5598">
        <w:rPr>
          <w:lang w:val="en-GB"/>
        </w:rPr>
        <w:t xml:space="preserve">lanning </w:t>
      </w:r>
      <w:r w:rsidR="008867D2">
        <w:rPr>
          <w:lang w:val="en-GB"/>
        </w:rPr>
        <w:t>s</w:t>
      </w:r>
      <w:r w:rsidR="001C1117" w:rsidRPr="008867D2">
        <w:rPr>
          <w:lang w:val="en-GB"/>
        </w:rPr>
        <w:t xml:space="preserve">horter sessions </w:t>
      </w:r>
    </w:p>
    <w:p w14:paraId="0FF0259A" w14:textId="77777777" w:rsidR="008867D2" w:rsidRDefault="008867D2" w:rsidP="00F64945">
      <w:pPr>
        <w:pStyle w:val="ListParagraph"/>
        <w:numPr>
          <w:ilvl w:val="0"/>
          <w:numId w:val="11"/>
        </w:numPr>
        <w:rPr>
          <w:lang w:val="en-GB"/>
        </w:rPr>
      </w:pPr>
      <w:r>
        <w:rPr>
          <w:lang w:val="en-GB"/>
        </w:rPr>
        <w:t xml:space="preserve">encouraging </w:t>
      </w:r>
      <w:r w:rsidR="001C1117" w:rsidRPr="008867D2">
        <w:rPr>
          <w:lang w:val="en-GB"/>
        </w:rPr>
        <w:t xml:space="preserve">regular breaks </w:t>
      </w:r>
    </w:p>
    <w:p w14:paraId="4A98956C" w14:textId="519D42E3" w:rsidR="001C1117" w:rsidRPr="008867D2" w:rsidRDefault="008867D2" w:rsidP="00F64945">
      <w:pPr>
        <w:pStyle w:val="ListParagraph"/>
        <w:numPr>
          <w:ilvl w:val="0"/>
          <w:numId w:val="11"/>
        </w:numPr>
        <w:rPr>
          <w:lang w:val="en-GB"/>
        </w:rPr>
      </w:pPr>
      <w:r>
        <w:rPr>
          <w:lang w:val="en-GB"/>
        </w:rPr>
        <w:t xml:space="preserve">avoiding </w:t>
      </w:r>
      <w:r w:rsidR="00BF4E1C" w:rsidRPr="008867D2">
        <w:rPr>
          <w:lang w:val="en-GB"/>
        </w:rPr>
        <w:t>back-to-back</w:t>
      </w:r>
      <w:r w:rsidR="001C1117" w:rsidRPr="008867D2">
        <w:rPr>
          <w:lang w:val="en-GB"/>
        </w:rPr>
        <w:t xml:space="preserve"> </w:t>
      </w:r>
      <w:r>
        <w:rPr>
          <w:lang w:val="en-GB"/>
        </w:rPr>
        <w:t>sessions.</w:t>
      </w:r>
    </w:p>
    <w:p w14:paraId="573EDC0C" w14:textId="77C1BA55" w:rsidR="00CF062F" w:rsidRDefault="00CF062F" w:rsidP="00F64945">
      <w:pPr>
        <w:rPr>
          <w:lang w:val="en-GB"/>
        </w:rPr>
      </w:pPr>
    </w:p>
    <w:tbl>
      <w:tblPr>
        <w:tblStyle w:val="TableGrid"/>
        <w:tblW w:w="0" w:type="auto"/>
        <w:tblLook w:val="04A0" w:firstRow="1" w:lastRow="0" w:firstColumn="1" w:lastColumn="0" w:noHBand="0" w:noVBand="1"/>
      </w:tblPr>
      <w:tblGrid>
        <w:gridCol w:w="10790"/>
      </w:tblGrid>
      <w:tr w:rsidR="00CF062F" w14:paraId="3621E729" w14:textId="77777777" w:rsidTr="00CF062F">
        <w:tc>
          <w:tcPr>
            <w:tcW w:w="10790" w:type="dxa"/>
          </w:tcPr>
          <w:p w14:paraId="159CA991" w14:textId="2099D804" w:rsidR="00CF062F" w:rsidRPr="00CF062F" w:rsidRDefault="00CF062F" w:rsidP="00F64945">
            <w:r w:rsidRPr="00CF062F">
              <w:t xml:space="preserve">Example: Music leaders complete reflective diaries after each session which includes the question: “Is there anything that you would like to share with us related to how the session made you feel?” These are checked weekly, so any issues can be supported quickly. </w:t>
            </w:r>
          </w:p>
        </w:tc>
      </w:tr>
    </w:tbl>
    <w:p w14:paraId="0CC6930F" w14:textId="782C478A" w:rsidR="00D23B40" w:rsidRPr="004C4CA7" w:rsidRDefault="006A615E" w:rsidP="004C4CA7">
      <w:pPr>
        <w:pStyle w:val="Heading3"/>
      </w:pPr>
      <w:bookmarkStart w:id="25" w:name="_Toc70436297"/>
      <w:r w:rsidRPr="004C4CA7">
        <w:t>C5 Organisations seek to support music leaders’ training and development needs.</w:t>
      </w:r>
      <w:bookmarkEnd w:id="25"/>
      <w:r w:rsidRPr="004C4CA7">
        <w:t xml:space="preserve"> </w:t>
      </w:r>
    </w:p>
    <w:p w14:paraId="390458BA" w14:textId="2CAC505C" w:rsidR="00D23B40" w:rsidRPr="00300557" w:rsidRDefault="00D23B40" w:rsidP="00F64945">
      <w:pPr>
        <w:rPr>
          <w:lang w:val="en-GB"/>
        </w:rPr>
      </w:pPr>
    </w:p>
    <w:p w14:paraId="51E9780B" w14:textId="51CEA49E" w:rsidR="00CA1A4D" w:rsidRPr="00CA1A4D" w:rsidRDefault="00CA1A4D" w:rsidP="00F64945">
      <w:pPr>
        <w:rPr>
          <w:lang w:val="en-GB"/>
        </w:rPr>
      </w:pPr>
      <w:r w:rsidRPr="00CA1A4D">
        <w:rPr>
          <w:lang w:val="en-GB"/>
        </w:rPr>
        <w:t>M</w:t>
      </w:r>
      <w:r w:rsidR="006A615E" w:rsidRPr="00CA1A4D">
        <w:rPr>
          <w:lang w:val="en-GB"/>
        </w:rPr>
        <w:t>usic leaders need training in how to use online learning tools</w:t>
      </w:r>
      <w:r w:rsidR="00827FE2" w:rsidRPr="00CA1A4D">
        <w:rPr>
          <w:lang w:val="en-GB"/>
        </w:rPr>
        <w:t xml:space="preserve"> </w:t>
      </w:r>
      <w:r w:rsidR="006A615E" w:rsidRPr="00CA1A4D">
        <w:rPr>
          <w:lang w:val="en-GB"/>
        </w:rPr>
        <w:t>and video conferencing platforms. It shouldn’t be assumed that the practitioner will have this knowledge.</w:t>
      </w:r>
      <w:r w:rsidR="00827FE2" w:rsidRPr="00CA1A4D">
        <w:rPr>
          <w:lang w:val="en-GB"/>
        </w:rPr>
        <w:t xml:space="preserve"> </w:t>
      </w:r>
      <w:r w:rsidRPr="00CA1A4D">
        <w:rPr>
          <w:lang w:val="en-GB"/>
        </w:rPr>
        <w:t xml:space="preserve">Online delivery tools are continually developing, so any training or support should not be a one-off. </w:t>
      </w:r>
    </w:p>
    <w:p w14:paraId="2B2654A4" w14:textId="572B8402" w:rsidR="00AB4435" w:rsidRPr="00CA1A4D" w:rsidRDefault="00AB4435" w:rsidP="00F64945">
      <w:pPr>
        <w:rPr>
          <w:lang w:val="en-GB"/>
        </w:rPr>
      </w:pPr>
    </w:p>
    <w:p w14:paraId="124B8EA4" w14:textId="323B8A5F" w:rsidR="00827FE2" w:rsidRDefault="00827FE2" w:rsidP="00F64945">
      <w:pPr>
        <w:rPr>
          <w:lang w:val="en-GB"/>
        </w:rPr>
      </w:pPr>
      <w:r w:rsidRPr="00CA1A4D">
        <w:rPr>
          <w:lang w:val="en-GB"/>
        </w:rPr>
        <w:t xml:space="preserve">Music leaders will also </w:t>
      </w:r>
      <w:r w:rsidR="006A615E" w:rsidRPr="00CA1A4D">
        <w:rPr>
          <w:lang w:val="en-GB"/>
        </w:rPr>
        <w:t>need training in how to transfer their facilitation skills to an online environment</w:t>
      </w:r>
      <w:r w:rsidR="00CA1A4D" w:rsidRPr="00CA1A4D">
        <w:rPr>
          <w:lang w:val="en-GB"/>
        </w:rPr>
        <w:t xml:space="preserve">. </w:t>
      </w:r>
    </w:p>
    <w:p w14:paraId="31383F9F" w14:textId="77777777" w:rsidR="00CF062F" w:rsidRDefault="00CF062F" w:rsidP="00F64945">
      <w:pPr>
        <w:rPr>
          <w:lang w:val="en-GB"/>
        </w:rPr>
      </w:pPr>
    </w:p>
    <w:tbl>
      <w:tblPr>
        <w:tblStyle w:val="TableGrid"/>
        <w:tblW w:w="0" w:type="auto"/>
        <w:tblLook w:val="04A0" w:firstRow="1" w:lastRow="0" w:firstColumn="1" w:lastColumn="0" w:noHBand="0" w:noVBand="1"/>
      </w:tblPr>
      <w:tblGrid>
        <w:gridCol w:w="10790"/>
      </w:tblGrid>
      <w:tr w:rsidR="00CF062F" w:rsidRPr="00CF062F" w14:paraId="05354185" w14:textId="77777777" w:rsidTr="00CF062F">
        <w:tc>
          <w:tcPr>
            <w:tcW w:w="10790" w:type="dxa"/>
          </w:tcPr>
          <w:p w14:paraId="68439EF0" w14:textId="095C3A77" w:rsidR="00CF062F" w:rsidRPr="00CF062F" w:rsidRDefault="00CF062F" w:rsidP="00F64945">
            <w:r w:rsidRPr="00CF062F">
              <w:t xml:space="preserve">Example: Setting up a team Facebook page or WhatsApp group enables practitioners to share new hints and tips as they go. This will also help to keep track of the team’s learning needs for future training. </w:t>
            </w:r>
          </w:p>
        </w:tc>
      </w:tr>
    </w:tbl>
    <w:p w14:paraId="28095484" w14:textId="3EAF2333" w:rsidR="00376B8E" w:rsidRDefault="00376B8E" w:rsidP="00F64945">
      <w:pPr>
        <w:rPr>
          <w:lang w:val="en-GB"/>
        </w:rPr>
      </w:pPr>
    </w:p>
    <w:p w14:paraId="5FE63ECE" w14:textId="77777777" w:rsidR="00CF062F" w:rsidRPr="00CA1A4D" w:rsidRDefault="00CF062F" w:rsidP="00F64945">
      <w:pPr>
        <w:rPr>
          <w:lang w:val="en-GB"/>
        </w:rPr>
      </w:pPr>
    </w:p>
    <w:p w14:paraId="1E34EBBF" w14:textId="77777777" w:rsidR="00B878F0" w:rsidRDefault="00B878F0" w:rsidP="00F64945">
      <w:pPr>
        <w:rPr>
          <w:sz w:val="32"/>
          <w:szCs w:val="32"/>
          <w:lang w:val="en-GB"/>
        </w:rPr>
      </w:pPr>
      <w:bookmarkStart w:id="26" w:name="_awfl5t9koo5f" w:colFirst="0" w:colLast="0"/>
      <w:bookmarkStart w:id="27" w:name="_Hlk67299804"/>
      <w:bookmarkEnd w:id="26"/>
      <w:r>
        <w:rPr>
          <w:lang w:val="en-GB"/>
        </w:rPr>
        <w:br w:type="page"/>
      </w:r>
    </w:p>
    <w:p w14:paraId="1CEA9A82" w14:textId="5DE34C3D" w:rsidR="00D23B40" w:rsidRPr="00300557" w:rsidRDefault="006A615E" w:rsidP="00F64945">
      <w:pPr>
        <w:pStyle w:val="Heading2"/>
        <w:rPr>
          <w:lang w:val="en-GB"/>
        </w:rPr>
      </w:pPr>
      <w:bookmarkStart w:id="28" w:name="_Toc70436298"/>
      <w:bookmarkStart w:id="29" w:name="_Toc72855476"/>
      <w:r w:rsidRPr="00300557">
        <w:rPr>
          <w:lang w:val="en-GB"/>
        </w:rPr>
        <w:lastRenderedPageBreak/>
        <w:t>Young people’s pastoral and progression needs</w:t>
      </w:r>
      <w:bookmarkEnd w:id="27"/>
      <w:bookmarkEnd w:id="28"/>
      <w:bookmarkEnd w:id="29"/>
      <w:r w:rsidRPr="00300557">
        <w:rPr>
          <w:lang w:val="en-GB"/>
        </w:rPr>
        <w:tab/>
      </w:r>
    </w:p>
    <w:p w14:paraId="6F363E26" w14:textId="3E778E0B" w:rsidR="00D23B40" w:rsidRPr="009C5391" w:rsidRDefault="006A615E" w:rsidP="004C4CA7">
      <w:pPr>
        <w:pStyle w:val="Heading3"/>
      </w:pPr>
      <w:bookmarkStart w:id="30" w:name="_Toc70436299"/>
      <w:r w:rsidRPr="009C5391">
        <w:t>PP1 Appropriate pastoral support is provided for young people.</w:t>
      </w:r>
      <w:bookmarkEnd w:id="30"/>
    </w:p>
    <w:p w14:paraId="0EFB183E" w14:textId="77777777" w:rsidR="00D23B40" w:rsidRPr="00300557" w:rsidRDefault="00D23B40" w:rsidP="00F64945">
      <w:pPr>
        <w:rPr>
          <w:lang w:val="en-GB"/>
        </w:rPr>
      </w:pPr>
    </w:p>
    <w:p w14:paraId="57A2C55A" w14:textId="2DC5133D" w:rsidR="008942DE" w:rsidRPr="00DC4997" w:rsidRDefault="006A615E" w:rsidP="00F64945">
      <w:pPr>
        <w:rPr>
          <w:lang w:val="en-GB"/>
        </w:rPr>
      </w:pPr>
      <w:r w:rsidRPr="00DC4997">
        <w:rPr>
          <w:lang w:val="en-GB"/>
        </w:rPr>
        <w:t xml:space="preserve">Good communication in advance </w:t>
      </w:r>
      <w:r w:rsidR="00DC4997" w:rsidRPr="00DC4997">
        <w:rPr>
          <w:lang w:val="en-GB"/>
        </w:rPr>
        <w:t xml:space="preserve">of a session </w:t>
      </w:r>
      <w:r w:rsidRPr="00DC4997">
        <w:rPr>
          <w:lang w:val="en-GB"/>
        </w:rPr>
        <w:t>can support young people to access opportunities without worries</w:t>
      </w:r>
      <w:r w:rsidR="005D1CF0" w:rsidRPr="00DC4997">
        <w:rPr>
          <w:lang w:val="en-GB"/>
        </w:rPr>
        <w:t xml:space="preserve"> or </w:t>
      </w:r>
      <w:r w:rsidRPr="00DC4997">
        <w:rPr>
          <w:lang w:val="en-GB"/>
        </w:rPr>
        <w:t>stress.</w:t>
      </w:r>
      <w:r w:rsidR="008942DE" w:rsidRPr="00DC4997">
        <w:rPr>
          <w:lang w:val="en-GB"/>
        </w:rPr>
        <w:t xml:space="preserve"> </w:t>
      </w:r>
      <w:r w:rsidR="0026671A" w:rsidRPr="00DC4997">
        <w:rPr>
          <w:lang w:val="en-GB"/>
        </w:rPr>
        <w:t>T</w:t>
      </w:r>
      <w:r w:rsidR="008942DE" w:rsidRPr="00DC4997">
        <w:rPr>
          <w:lang w:val="en-GB"/>
        </w:rPr>
        <w:t>his should include the option of providing walk throughs</w:t>
      </w:r>
      <w:r w:rsidR="0026671A" w:rsidRPr="00DC4997">
        <w:rPr>
          <w:lang w:val="en-GB"/>
        </w:rPr>
        <w:t xml:space="preserve"> of how to use the platforms</w:t>
      </w:r>
      <w:r w:rsidR="008942DE" w:rsidRPr="00DC4997">
        <w:rPr>
          <w:lang w:val="en-GB"/>
        </w:rPr>
        <w:t xml:space="preserve"> with parents</w:t>
      </w:r>
      <w:r w:rsidR="009C5391">
        <w:rPr>
          <w:lang w:val="en-GB"/>
        </w:rPr>
        <w:t>/</w:t>
      </w:r>
      <w:r w:rsidR="008942DE" w:rsidRPr="00DC4997">
        <w:rPr>
          <w:lang w:val="en-GB"/>
        </w:rPr>
        <w:t>carers and participants.</w:t>
      </w:r>
      <w:r w:rsidRPr="00DC4997">
        <w:rPr>
          <w:lang w:val="en-GB"/>
        </w:rPr>
        <w:t xml:space="preserve"> </w:t>
      </w:r>
    </w:p>
    <w:p w14:paraId="516C67AC" w14:textId="77777777" w:rsidR="008942DE" w:rsidRPr="00DC4997" w:rsidRDefault="008942DE" w:rsidP="00F64945">
      <w:pPr>
        <w:rPr>
          <w:lang w:val="en-GB"/>
        </w:rPr>
      </w:pPr>
    </w:p>
    <w:p w14:paraId="51DDAD4F" w14:textId="6D7B0A23" w:rsidR="00D23B40" w:rsidRPr="00DC4997" w:rsidRDefault="005D1CF0" w:rsidP="00F64945">
      <w:pPr>
        <w:rPr>
          <w:b/>
          <w:lang w:val="en-GB"/>
        </w:rPr>
      </w:pPr>
      <w:r w:rsidRPr="00DC4997">
        <w:rPr>
          <w:lang w:val="en-GB"/>
        </w:rPr>
        <w:t xml:space="preserve">Organisations should also make sure that there are enough staff in online sessions to monitor participants and check in with those who might </w:t>
      </w:r>
      <w:r w:rsidR="007E486E">
        <w:rPr>
          <w:lang w:val="en-GB"/>
        </w:rPr>
        <w:t>need support</w:t>
      </w:r>
      <w:r w:rsidRPr="00DC4997">
        <w:rPr>
          <w:lang w:val="en-GB"/>
        </w:rPr>
        <w:t>.</w:t>
      </w:r>
    </w:p>
    <w:p w14:paraId="69AE4DE4" w14:textId="77777777" w:rsidR="00D23B40" w:rsidRPr="00300557" w:rsidRDefault="00D23B40" w:rsidP="00F64945">
      <w:pPr>
        <w:rPr>
          <w:lang w:val="en-GB"/>
        </w:rPr>
      </w:pPr>
    </w:p>
    <w:p w14:paraId="5EEF21DB" w14:textId="5C09BFA7" w:rsidR="00D23B40" w:rsidRPr="00C31953" w:rsidRDefault="006A615E" w:rsidP="004C4CA7">
      <w:pPr>
        <w:pStyle w:val="Heading3"/>
      </w:pPr>
      <w:bookmarkStart w:id="31" w:name="_Toc70436300"/>
      <w:r w:rsidRPr="00C31953">
        <w:t>PP2 When participants are referred by another organisation, information is requested to inform planning and communication (for example about musical ability and experience, pastoral needs, special educational needs and/or disabilities).</w:t>
      </w:r>
      <w:bookmarkEnd w:id="31"/>
      <w:r w:rsidRPr="00C31953">
        <w:t xml:space="preserve"> </w:t>
      </w:r>
    </w:p>
    <w:p w14:paraId="16F2BC55" w14:textId="77777777" w:rsidR="00D23B40" w:rsidRPr="00300557" w:rsidRDefault="00D23B40" w:rsidP="00F64945">
      <w:pPr>
        <w:rPr>
          <w:lang w:val="en-GB"/>
        </w:rPr>
      </w:pPr>
    </w:p>
    <w:p w14:paraId="5DD78B9A" w14:textId="1D096227" w:rsidR="00D23B40" w:rsidRPr="00970558" w:rsidRDefault="00DC4997" w:rsidP="00F64945">
      <w:pPr>
        <w:rPr>
          <w:lang w:val="en-GB"/>
        </w:rPr>
      </w:pPr>
      <w:r>
        <w:rPr>
          <w:lang w:val="en-GB"/>
        </w:rPr>
        <w:t>T</w:t>
      </w:r>
      <w:r w:rsidR="006A615E" w:rsidRPr="00DC4997">
        <w:rPr>
          <w:lang w:val="en-GB"/>
        </w:rPr>
        <w:t>his should include information on the participant’s technical setup, previous experience online</w:t>
      </w:r>
      <w:r w:rsidR="00D06968" w:rsidRPr="00DC4997">
        <w:rPr>
          <w:lang w:val="en-GB"/>
        </w:rPr>
        <w:t xml:space="preserve"> and</w:t>
      </w:r>
      <w:r w:rsidR="006A615E" w:rsidRPr="00DC4997">
        <w:rPr>
          <w:lang w:val="en-GB"/>
        </w:rPr>
        <w:t xml:space="preserve"> </w:t>
      </w:r>
      <w:r w:rsidR="0050673C" w:rsidRPr="00DC4997">
        <w:rPr>
          <w:lang w:val="en-GB"/>
        </w:rPr>
        <w:t xml:space="preserve">their </w:t>
      </w:r>
      <w:r w:rsidR="006A615E" w:rsidRPr="00DC4997">
        <w:rPr>
          <w:lang w:val="en-GB"/>
        </w:rPr>
        <w:t>instruments</w:t>
      </w:r>
      <w:r w:rsidR="00D06968" w:rsidRPr="00DC4997">
        <w:rPr>
          <w:lang w:val="en-GB"/>
        </w:rPr>
        <w:t xml:space="preserve"> and/or </w:t>
      </w:r>
      <w:r w:rsidR="006A615E" w:rsidRPr="00DC4997">
        <w:rPr>
          <w:lang w:val="en-GB"/>
        </w:rPr>
        <w:t>musical equipment at home.</w:t>
      </w:r>
    </w:p>
    <w:p w14:paraId="31137BFF" w14:textId="77777777" w:rsidR="00D23B40" w:rsidRPr="00300557" w:rsidRDefault="00D23B40" w:rsidP="00F64945">
      <w:pPr>
        <w:rPr>
          <w:lang w:val="en-GB"/>
        </w:rPr>
      </w:pPr>
    </w:p>
    <w:p w14:paraId="5388B270" w14:textId="11D57C4B" w:rsidR="00D23B40" w:rsidRPr="00E568C7" w:rsidRDefault="006A615E" w:rsidP="004C4CA7">
      <w:pPr>
        <w:pStyle w:val="Heading3"/>
      </w:pPr>
      <w:bookmarkStart w:id="32" w:name="_Toc70436301"/>
      <w:r w:rsidRPr="00E568C7">
        <w:t>PP3 Organisations enable music leaders to develop up-to-date knowledge of progression routes, so that young people can be signposted to relevant opportunities beyond the programme.</w:t>
      </w:r>
      <w:bookmarkEnd w:id="32"/>
    </w:p>
    <w:p w14:paraId="3E32537F" w14:textId="77777777" w:rsidR="00D23B40" w:rsidRPr="00300557" w:rsidRDefault="00D23B40" w:rsidP="00F64945">
      <w:pPr>
        <w:rPr>
          <w:lang w:val="en-GB"/>
        </w:rPr>
      </w:pPr>
    </w:p>
    <w:p w14:paraId="2BB9FCB0" w14:textId="5D80C4C4" w:rsidR="00D23B40" w:rsidRPr="00970558" w:rsidRDefault="00340202" w:rsidP="00F64945">
      <w:pPr>
        <w:rPr>
          <w:lang w:val="en-GB"/>
        </w:rPr>
      </w:pPr>
      <w:r>
        <w:rPr>
          <w:lang w:val="en-GB"/>
        </w:rPr>
        <w:t>Working online removes geographical limits, so t</w:t>
      </w:r>
      <w:r w:rsidR="00506C86">
        <w:rPr>
          <w:lang w:val="en-GB"/>
        </w:rPr>
        <w:t>here</w:t>
      </w:r>
      <w:r w:rsidR="006A615E" w:rsidRPr="00970558">
        <w:rPr>
          <w:lang w:val="en-GB"/>
        </w:rPr>
        <w:t xml:space="preserve"> may be </w:t>
      </w:r>
      <w:r w:rsidR="006A5628" w:rsidRPr="00970558">
        <w:rPr>
          <w:lang w:val="en-GB"/>
        </w:rPr>
        <w:t>a wider range</w:t>
      </w:r>
      <w:r w:rsidR="006A615E" w:rsidRPr="00970558">
        <w:rPr>
          <w:lang w:val="en-GB"/>
        </w:rPr>
        <w:t xml:space="preserve"> of </w:t>
      </w:r>
      <w:r w:rsidR="00436954">
        <w:rPr>
          <w:lang w:val="en-GB"/>
        </w:rPr>
        <w:t>progression opportunitie</w:t>
      </w:r>
      <w:r>
        <w:rPr>
          <w:lang w:val="en-GB"/>
        </w:rPr>
        <w:t>s</w:t>
      </w:r>
      <w:r w:rsidR="006A615E" w:rsidRPr="00970558">
        <w:rPr>
          <w:lang w:val="en-GB"/>
        </w:rPr>
        <w:t>.</w:t>
      </w:r>
    </w:p>
    <w:p w14:paraId="72F05517" w14:textId="77777777" w:rsidR="00D23B40" w:rsidRPr="00300557" w:rsidRDefault="00D23B40" w:rsidP="00F64945">
      <w:pPr>
        <w:rPr>
          <w:lang w:val="en-GB"/>
        </w:rPr>
      </w:pPr>
    </w:p>
    <w:p w14:paraId="3AAFEE37" w14:textId="77777777" w:rsidR="00B878F0" w:rsidRDefault="00B878F0" w:rsidP="00F64945">
      <w:pPr>
        <w:rPr>
          <w:sz w:val="32"/>
          <w:szCs w:val="32"/>
          <w:lang w:val="en-GB"/>
        </w:rPr>
      </w:pPr>
      <w:bookmarkStart w:id="33" w:name="_2yy04y4n8w64" w:colFirst="0" w:colLast="0"/>
      <w:bookmarkEnd w:id="33"/>
      <w:r>
        <w:rPr>
          <w:lang w:val="en-GB"/>
        </w:rPr>
        <w:br w:type="page"/>
      </w:r>
    </w:p>
    <w:p w14:paraId="7A084048" w14:textId="46F434E9" w:rsidR="00D23B40" w:rsidRPr="00300557" w:rsidRDefault="006A615E" w:rsidP="00F64945">
      <w:pPr>
        <w:pStyle w:val="Heading2"/>
        <w:rPr>
          <w:lang w:val="en-GB"/>
        </w:rPr>
      </w:pPr>
      <w:bookmarkStart w:id="34" w:name="_Toc70436302"/>
      <w:bookmarkStart w:id="35" w:name="_Toc72855477"/>
      <w:r w:rsidRPr="00300557">
        <w:rPr>
          <w:lang w:val="en-GB"/>
        </w:rPr>
        <w:lastRenderedPageBreak/>
        <w:t>Planning and evaluation</w:t>
      </w:r>
      <w:bookmarkEnd w:id="34"/>
      <w:bookmarkEnd w:id="35"/>
    </w:p>
    <w:p w14:paraId="2996FFCC" w14:textId="6769DAAA" w:rsidR="00D23B40" w:rsidRPr="00CF489C" w:rsidRDefault="006A615E" w:rsidP="004C4CA7">
      <w:pPr>
        <w:pStyle w:val="Heading3"/>
      </w:pPr>
      <w:bookmarkStart w:id="36" w:name="_Toc70436303"/>
      <w:r w:rsidRPr="00CF489C">
        <w:t>PE1 Programmes are planned to ensure that duration of contact time and frequency of engagement are sufficient to achieve the intended outcomes.</w:t>
      </w:r>
      <w:bookmarkEnd w:id="36"/>
    </w:p>
    <w:p w14:paraId="20DFEF7B" w14:textId="3A3F9890" w:rsidR="00D23B40" w:rsidRPr="00300557" w:rsidRDefault="00D23B40" w:rsidP="00F64945">
      <w:pPr>
        <w:rPr>
          <w:lang w:val="en-GB"/>
        </w:rPr>
      </w:pPr>
    </w:p>
    <w:p w14:paraId="5350C92F" w14:textId="094B7778" w:rsidR="00D23B40" w:rsidRDefault="001D2654" w:rsidP="00F64945">
      <w:pPr>
        <w:rPr>
          <w:lang w:val="en-GB"/>
        </w:rPr>
      </w:pPr>
      <w:r w:rsidRPr="00177648">
        <w:rPr>
          <w:bCs/>
          <w:lang w:val="en-GB"/>
        </w:rPr>
        <w:t>Some</w:t>
      </w:r>
      <w:r w:rsidR="006A615E" w:rsidRPr="00177648">
        <w:rPr>
          <w:lang w:val="en-GB"/>
        </w:rPr>
        <w:t xml:space="preserve"> outcomes may take longer to achieve than when working face-to-face.</w:t>
      </w:r>
    </w:p>
    <w:p w14:paraId="2F32F5D6" w14:textId="77777777" w:rsidR="00CF062F" w:rsidRPr="00177648" w:rsidRDefault="00CF062F" w:rsidP="00F64945">
      <w:pPr>
        <w:rPr>
          <w:lang w:val="en-GB"/>
        </w:rPr>
      </w:pPr>
    </w:p>
    <w:tbl>
      <w:tblPr>
        <w:tblStyle w:val="TableGrid"/>
        <w:tblW w:w="0" w:type="auto"/>
        <w:tblLook w:val="04A0" w:firstRow="1" w:lastRow="0" w:firstColumn="1" w:lastColumn="0" w:noHBand="0" w:noVBand="1"/>
      </w:tblPr>
      <w:tblGrid>
        <w:gridCol w:w="10790"/>
      </w:tblGrid>
      <w:tr w:rsidR="00CF062F" w14:paraId="0A6F376B" w14:textId="77777777" w:rsidTr="00CF062F">
        <w:tc>
          <w:tcPr>
            <w:tcW w:w="10790" w:type="dxa"/>
          </w:tcPr>
          <w:p w14:paraId="44E11854" w14:textId="03345271" w:rsidR="00CF062F" w:rsidRPr="00CF062F" w:rsidRDefault="00CF062F" w:rsidP="00F64945">
            <w:r w:rsidRPr="00CF062F">
              <w:t xml:space="preserve">Example: A music leader wants to capture musical progression in group performance skills. When delivering in person, they may have been able to observe this throughout a session. When working online, the music leader may need to record each young person’s part separately and arrange into a musical performance to monitor their progress. </w:t>
            </w:r>
          </w:p>
        </w:tc>
      </w:tr>
    </w:tbl>
    <w:p w14:paraId="2D090838" w14:textId="55ED79D2" w:rsidR="0058168C" w:rsidRPr="00177648" w:rsidRDefault="0058168C" w:rsidP="00F64945">
      <w:pPr>
        <w:rPr>
          <w:lang w:val="en-GB"/>
        </w:rPr>
      </w:pPr>
    </w:p>
    <w:p w14:paraId="4EA61008" w14:textId="40846FE2" w:rsidR="00D23B40" w:rsidRPr="005C0162" w:rsidRDefault="006A615E" w:rsidP="004C4CA7">
      <w:pPr>
        <w:pStyle w:val="Heading3"/>
      </w:pPr>
      <w:bookmarkStart w:id="37" w:name="_Toc70436304"/>
      <w:r w:rsidRPr="005C0162">
        <w:t>PE2 Evaluation activities are devised and scheduled before delivery commences.</w:t>
      </w:r>
      <w:bookmarkEnd w:id="37"/>
    </w:p>
    <w:p w14:paraId="76BCE9B9" w14:textId="7522D781" w:rsidR="00D23B40" w:rsidRPr="005C0162" w:rsidRDefault="006A615E" w:rsidP="004C4CA7">
      <w:pPr>
        <w:pStyle w:val="Heading3"/>
      </w:pPr>
      <w:bookmarkStart w:id="38" w:name="_Toc70436305"/>
      <w:r w:rsidRPr="005C0162">
        <w:t>PE3 Organisations ensure that evaluation activities are carried out as planned.</w:t>
      </w:r>
      <w:bookmarkEnd w:id="38"/>
    </w:p>
    <w:p w14:paraId="51812B0B" w14:textId="762D35E5" w:rsidR="00D23B40" w:rsidRPr="00300557" w:rsidRDefault="00D23B40" w:rsidP="00F64945">
      <w:pPr>
        <w:rPr>
          <w:lang w:val="en-GB"/>
        </w:rPr>
      </w:pPr>
    </w:p>
    <w:p w14:paraId="3EDE51ED" w14:textId="77777777" w:rsidR="00B878F0" w:rsidRDefault="00B878F0" w:rsidP="00F64945">
      <w:pPr>
        <w:rPr>
          <w:sz w:val="40"/>
          <w:szCs w:val="40"/>
          <w:lang w:val="en-GB"/>
        </w:rPr>
      </w:pPr>
      <w:bookmarkStart w:id="39" w:name="_7g9g13vzj04a" w:colFirst="0" w:colLast="0"/>
      <w:bookmarkEnd w:id="39"/>
      <w:r>
        <w:rPr>
          <w:lang w:val="en-GB"/>
        </w:rPr>
        <w:br w:type="page"/>
      </w:r>
    </w:p>
    <w:p w14:paraId="635D378F" w14:textId="201220FF" w:rsidR="00D23B40" w:rsidRPr="00300557" w:rsidRDefault="006A615E" w:rsidP="00F64945">
      <w:pPr>
        <w:pStyle w:val="Heading1"/>
        <w:rPr>
          <w:lang w:val="en-GB"/>
        </w:rPr>
      </w:pPr>
      <w:bookmarkStart w:id="40" w:name="_Toc70436306"/>
      <w:bookmarkStart w:id="41" w:name="_Toc72855478"/>
      <w:r w:rsidRPr="00300557">
        <w:rPr>
          <w:lang w:val="en-GB"/>
        </w:rPr>
        <w:lastRenderedPageBreak/>
        <w:t>Part 2: Session criteria</w:t>
      </w:r>
      <w:bookmarkEnd w:id="40"/>
      <w:bookmarkEnd w:id="41"/>
      <w:r w:rsidRPr="00300557">
        <w:rPr>
          <w:lang w:val="en-GB"/>
        </w:rPr>
        <w:t xml:space="preserve"> </w:t>
      </w:r>
    </w:p>
    <w:p w14:paraId="0A295EBD" w14:textId="236198F9" w:rsidR="00D23B40" w:rsidRPr="00300557" w:rsidRDefault="006A615E" w:rsidP="00F64945">
      <w:pPr>
        <w:pStyle w:val="Heading2"/>
        <w:rPr>
          <w:lang w:val="en-GB"/>
        </w:rPr>
      </w:pPr>
      <w:bookmarkStart w:id="42" w:name="_mcmaoksjbowo" w:colFirst="0" w:colLast="0"/>
      <w:bookmarkStart w:id="43" w:name="_Toc70436307"/>
      <w:bookmarkStart w:id="44" w:name="_Toc72855479"/>
      <w:bookmarkEnd w:id="42"/>
      <w:r w:rsidRPr="00300557">
        <w:rPr>
          <w:lang w:val="en-GB"/>
        </w:rPr>
        <w:t>Young people centred</w:t>
      </w:r>
      <w:bookmarkEnd w:id="43"/>
      <w:bookmarkEnd w:id="44"/>
    </w:p>
    <w:p w14:paraId="39D768B2" w14:textId="28FE40C8" w:rsidR="00D23B40" w:rsidRPr="001C17ED" w:rsidRDefault="006A615E" w:rsidP="004C4CA7">
      <w:pPr>
        <w:pStyle w:val="Heading3"/>
      </w:pPr>
      <w:bookmarkStart w:id="45" w:name="_Toc70436308"/>
      <w:r w:rsidRPr="001C17ED">
        <w:t>Y1 Music-making reflects the young people’s interests, with recognition of their existing musical identities.</w:t>
      </w:r>
      <w:bookmarkEnd w:id="45"/>
      <w:r w:rsidRPr="001C17ED">
        <w:t xml:space="preserve">  </w:t>
      </w:r>
    </w:p>
    <w:p w14:paraId="17D83554" w14:textId="77777777" w:rsidR="00D23B40" w:rsidRPr="00300557" w:rsidRDefault="00D23B40" w:rsidP="00F64945">
      <w:pPr>
        <w:rPr>
          <w:lang w:val="en-GB"/>
        </w:rPr>
      </w:pPr>
    </w:p>
    <w:p w14:paraId="5C82A7FD" w14:textId="3880AD34" w:rsidR="00D23B40" w:rsidRPr="00041DAD" w:rsidRDefault="00207D25" w:rsidP="00F64945">
      <w:pPr>
        <w:rPr>
          <w:lang w:val="en-GB"/>
        </w:rPr>
      </w:pPr>
      <w:r w:rsidRPr="00041DAD">
        <w:rPr>
          <w:bCs/>
          <w:lang w:val="en-GB"/>
        </w:rPr>
        <w:t>O</w:t>
      </w:r>
      <w:r w:rsidR="006A615E" w:rsidRPr="00041DAD">
        <w:rPr>
          <w:lang w:val="en-GB"/>
        </w:rPr>
        <w:t xml:space="preserve">nline delivery allows a unique opportunity </w:t>
      </w:r>
      <w:r w:rsidR="002A6E18" w:rsidRPr="00041DAD">
        <w:rPr>
          <w:lang w:val="en-GB"/>
        </w:rPr>
        <w:t xml:space="preserve">for young people </w:t>
      </w:r>
      <w:r w:rsidR="006A615E" w:rsidRPr="00041DAD">
        <w:rPr>
          <w:lang w:val="en-GB"/>
        </w:rPr>
        <w:t xml:space="preserve">to share </w:t>
      </w:r>
      <w:r w:rsidR="002A6E18" w:rsidRPr="00041DAD">
        <w:rPr>
          <w:lang w:val="en-GB"/>
        </w:rPr>
        <w:t xml:space="preserve">their musical </w:t>
      </w:r>
      <w:r w:rsidR="006A615E" w:rsidRPr="00041DAD">
        <w:rPr>
          <w:lang w:val="en-GB"/>
        </w:rPr>
        <w:t xml:space="preserve">interests </w:t>
      </w:r>
      <w:r w:rsidR="002A6E18" w:rsidRPr="00041DAD">
        <w:rPr>
          <w:lang w:val="en-GB"/>
        </w:rPr>
        <w:t xml:space="preserve">and </w:t>
      </w:r>
      <w:r w:rsidR="006A615E" w:rsidRPr="00041DAD">
        <w:rPr>
          <w:lang w:val="en-GB"/>
        </w:rPr>
        <w:t xml:space="preserve">tastes with ease. </w:t>
      </w:r>
    </w:p>
    <w:p w14:paraId="773A6C15" w14:textId="62D8BBD9" w:rsidR="002159BC" w:rsidRDefault="002159BC" w:rsidP="00F64945">
      <w:pPr>
        <w:rPr>
          <w:lang w:val="en-GB"/>
        </w:rPr>
      </w:pPr>
    </w:p>
    <w:tbl>
      <w:tblPr>
        <w:tblStyle w:val="TableGrid"/>
        <w:tblW w:w="0" w:type="auto"/>
        <w:tblLook w:val="04A0" w:firstRow="1" w:lastRow="0" w:firstColumn="1" w:lastColumn="0" w:noHBand="0" w:noVBand="1"/>
      </w:tblPr>
      <w:tblGrid>
        <w:gridCol w:w="10790"/>
      </w:tblGrid>
      <w:tr w:rsidR="00CF062F" w14:paraId="0FC98763" w14:textId="77777777" w:rsidTr="00CF062F">
        <w:tc>
          <w:tcPr>
            <w:tcW w:w="10790" w:type="dxa"/>
          </w:tcPr>
          <w:p w14:paraId="40A8336C" w14:textId="49DC169E" w:rsidR="00CF062F" w:rsidRPr="00CF062F" w:rsidRDefault="00CF062F" w:rsidP="00F64945">
            <w:r w:rsidRPr="00CF062F">
              <w:t xml:space="preserve">Example: A music leader sets up a group playlist where young people can share and listen to each other’s favourite tracks. The group enjoys researching and preparing songs to share outside of session time. </w:t>
            </w:r>
          </w:p>
        </w:tc>
      </w:tr>
    </w:tbl>
    <w:p w14:paraId="60B98DDD" w14:textId="7E1BE04D" w:rsidR="00D23B40" w:rsidRPr="00D4405D" w:rsidRDefault="006A615E" w:rsidP="004C4CA7">
      <w:pPr>
        <w:pStyle w:val="Heading3"/>
      </w:pPr>
      <w:bookmarkStart w:id="46" w:name="_Toc70436309"/>
      <w:r w:rsidRPr="00D4405D">
        <w:t>Y2 Young people experience equality of engagement and no participant is discriminated against. Their views are integral to the session.</w:t>
      </w:r>
      <w:bookmarkEnd w:id="46"/>
    </w:p>
    <w:p w14:paraId="49844EF2" w14:textId="77777777" w:rsidR="00D23B40" w:rsidRPr="00300557" w:rsidRDefault="00D23B40" w:rsidP="00F64945">
      <w:pPr>
        <w:rPr>
          <w:lang w:val="en-GB"/>
        </w:rPr>
      </w:pPr>
    </w:p>
    <w:p w14:paraId="73D576D3" w14:textId="2E7A9D96" w:rsidR="00D23B40" w:rsidRPr="005E29AD" w:rsidRDefault="005E29AD" w:rsidP="00F64945">
      <w:pPr>
        <w:rPr>
          <w:lang w:val="en-GB"/>
        </w:rPr>
      </w:pPr>
      <w:r>
        <w:rPr>
          <w:bCs/>
          <w:lang w:val="en-GB"/>
        </w:rPr>
        <w:t xml:space="preserve">Young people should be able to access activities in multiple ways </w:t>
      </w:r>
      <w:r w:rsidR="007115AF" w:rsidRPr="005E29AD">
        <w:rPr>
          <w:lang w:val="en-GB"/>
        </w:rPr>
        <w:t>(</w:t>
      </w:r>
      <w:proofErr w:type="gramStart"/>
      <w:r w:rsidR="007115AF" w:rsidRPr="005E29AD">
        <w:rPr>
          <w:lang w:val="en-GB"/>
        </w:rPr>
        <w:t>e.g.</w:t>
      </w:r>
      <w:proofErr w:type="gramEnd"/>
      <w:r>
        <w:rPr>
          <w:lang w:val="en-GB"/>
        </w:rPr>
        <w:t xml:space="preserve"> via</w:t>
      </w:r>
      <w:r w:rsidR="007115AF" w:rsidRPr="005E29AD">
        <w:rPr>
          <w:lang w:val="en-GB"/>
        </w:rPr>
        <w:t xml:space="preserve"> </w:t>
      </w:r>
      <w:r w:rsidR="00B82E7A" w:rsidRPr="005E29AD">
        <w:rPr>
          <w:lang w:val="en-GB"/>
        </w:rPr>
        <w:t>text</w:t>
      </w:r>
      <w:r w:rsidR="006A615E" w:rsidRPr="005E29AD">
        <w:rPr>
          <w:lang w:val="en-GB"/>
        </w:rPr>
        <w:t>, audio</w:t>
      </w:r>
      <w:r w:rsidR="00B82E7A" w:rsidRPr="005E29AD">
        <w:rPr>
          <w:lang w:val="en-GB"/>
        </w:rPr>
        <w:t xml:space="preserve">, </w:t>
      </w:r>
      <w:r w:rsidR="006A615E" w:rsidRPr="005E29AD">
        <w:rPr>
          <w:lang w:val="en-GB"/>
        </w:rPr>
        <w:t>video</w:t>
      </w:r>
      <w:r w:rsidR="00B82E7A" w:rsidRPr="005E29AD">
        <w:rPr>
          <w:lang w:val="en-GB"/>
        </w:rPr>
        <w:t xml:space="preserve"> and through a third person</w:t>
      </w:r>
      <w:r w:rsidR="007115AF" w:rsidRPr="005E29AD">
        <w:rPr>
          <w:lang w:val="en-GB"/>
        </w:rPr>
        <w:t xml:space="preserve">). </w:t>
      </w:r>
      <w:r w:rsidR="007C7D88" w:rsidRPr="005E29AD">
        <w:rPr>
          <w:lang w:val="en-GB"/>
        </w:rPr>
        <w:t xml:space="preserve">This means that it’s easier for all </w:t>
      </w:r>
      <w:r>
        <w:rPr>
          <w:lang w:val="en-GB"/>
        </w:rPr>
        <w:t>participants</w:t>
      </w:r>
      <w:r w:rsidR="007C7D88" w:rsidRPr="005E29AD">
        <w:rPr>
          <w:lang w:val="en-GB"/>
        </w:rPr>
        <w:t xml:space="preserve"> to be heard and included</w:t>
      </w:r>
      <w:r w:rsidR="007D46FD" w:rsidRPr="005E29AD">
        <w:rPr>
          <w:lang w:val="en-GB"/>
        </w:rPr>
        <w:t xml:space="preserve"> in the session</w:t>
      </w:r>
      <w:r w:rsidR="007C7D88" w:rsidRPr="005E29AD">
        <w:rPr>
          <w:lang w:val="en-GB"/>
        </w:rPr>
        <w:t xml:space="preserve">. </w:t>
      </w:r>
      <w:r w:rsidR="007115AF" w:rsidRPr="005E29AD">
        <w:rPr>
          <w:lang w:val="en-GB"/>
        </w:rPr>
        <w:t>Organisations should</w:t>
      </w:r>
      <w:r w:rsidR="00B82E7A" w:rsidRPr="005E29AD">
        <w:rPr>
          <w:lang w:val="en-GB"/>
        </w:rPr>
        <w:t xml:space="preserve"> also</w:t>
      </w:r>
      <w:r w:rsidR="006A615E" w:rsidRPr="005E29AD">
        <w:rPr>
          <w:lang w:val="en-GB"/>
        </w:rPr>
        <w:t xml:space="preserve"> be aware of internet</w:t>
      </w:r>
      <w:r w:rsidR="00B878F0">
        <w:rPr>
          <w:lang w:val="en-GB"/>
        </w:rPr>
        <w:t xml:space="preserve"> access issues </w:t>
      </w:r>
      <w:r w:rsidR="006A615E" w:rsidRPr="005E29AD">
        <w:rPr>
          <w:lang w:val="en-GB"/>
        </w:rPr>
        <w:t xml:space="preserve"> and </w:t>
      </w:r>
      <w:r w:rsidR="007115AF" w:rsidRPr="005E29AD">
        <w:rPr>
          <w:lang w:val="en-GB"/>
        </w:rPr>
        <w:t xml:space="preserve">any </w:t>
      </w:r>
      <w:r w:rsidR="006A615E" w:rsidRPr="005E29AD">
        <w:rPr>
          <w:lang w:val="en-GB"/>
        </w:rPr>
        <w:t xml:space="preserve">lack of suitable </w:t>
      </w:r>
      <w:r w:rsidR="00B878F0">
        <w:rPr>
          <w:lang w:val="en-GB"/>
        </w:rPr>
        <w:t xml:space="preserve">digital </w:t>
      </w:r>
      <w:r w:rsidR="006A615E" w:rsidRPr="005E29AD">
        <w:rPr>
          <w:lang w:val="en-GB"/>
        </w:rPr>
        <w:t xml:space="preserve">devices </w:t>
      </w:r>
      <w:r w:rsidR="007115AF" w:rsidRPr="005E29AD">
        <w:rPr>
          <w:lang w:val="en-GB"/>
        </w:rPr>
        <w:t xml:space="preserve">when planning sessions. </w:t>
      </w:r>
    </w:p>
    <w:p w14:paraId="5982E0E2" w14:textId="6DDBE5CF" w:rsidR="00B903A7" w:rsidRDefault="00B903A7" w:rsidP="00F64945">
      <w:pPr>
        <w:rPr>
          <w:lang w:val="en-GB"/>
        </w:rPr>
      </w:pPr>
    </w:p>
    <w:tbl>
      <w:tblPr>
        <w:tblStyle w:val="TableGrid"/>
        <w:tblW w:w="0" w:type="auto"/>
        <w:tblLook w:val="04A0" w:firstRow="1" w:lastRow="0" w:firstColumn="1" w:lastColumn="0" w:noHBand="0" w:noVBand="1"/>
      </w:tblPr>
      <w:tblGrid>
        <w:gridCol w:w="10790"/>
      </w:tblGrid>
      <w:tr w:rsidR="00B44C55" w14:paraId="0F794835" w14:textId="77777777" w:rsidTr="00B44C55">
        <w:tc>
          <w:tcPr>
            <w:tcW w:w="10790" w:type="dxa"/>
          </w:tcPr>
          <w:p w14:paraId="34A7411A" w14:textId="2BFF83E6" w:rsidR="00B44C55" w:rsidRPr="00B44C55" w:rsidRDefault="00B44C55" w:rsidP="00F64945">
            <w:r w:rsidRPr="00B44C55">
              <w:t xml:space="preserve">Example: A session takes place where one participant has a laptop and audio interface to record, another has a laptop that runs really slowly, and another has a smart phone. The music leader plans broad activities based on creative input rather than technology. Activity includes lyric writing, singing (individually), </w:t>
            </w:r>
            <w:proofErr w:type="spellStart"/>
            <w:r w:rsidRPr="00B44C55">
              <w:t>songwriting</w:t>
            </w:r>
            <w:proofErr w:type="spellEnd"/>
            <w:r w:rsidRPr="00B44C55">
              <w:t xml:space="preserve"> in small groups and responding to creative challenges that do not require any equipment. This ensures the young people are not excluded based on their equipment or internet connection. </w:t>
            </w:r>
          </w:p>
        </w:tc>
      </w:tr>
    </w:tbl>
    <w:p w14:paraId="2A27E201" w14:textId="77777777" w:rsidR="00D23B40" w:rsidRPr="00300557" w:rsidRDefault="00D23B40" w:rsidP="00F64945">
      <w:pPr>
        <w:rPr>
          <w:lang w:val="en-GB"/>
        </w:rPr>
      </w:pPr>
    </w:p>
    <w:p w14:paraId="7AFF17C6" w14:textId="78CA3C3A" w:rsidR="00861667" w:rsidRPr="00A25560" w:rsidRDefault="00861667" w:rsidP="00F64945">
      <w:pPr>
        <w:rPr>
          <w:lang w:val="en-GB"/>
        </w:rPr>
      </w:pPr>
      <w:r w:rsidRPr="00A25560">
        <w:rPr>
          <w:lang w:val="en-GB"/>
        </w:rPr>
        <w:t>Establishing</w:t>
      </w:r>
      <w:r w:rsidR="006A615E" w:rsidRPr="00A25560">
        <w:rPr>
          <w:lang w:val="en-GB"/>
        </w:rPr>
        <w:t xml:space="preserve"> a clear</w:t>
      </w:r>
      <w:r w:rsidR="008A457C" w:rsidRPr="00A25560">
        <w:rPr>
          <w:lang w:val="en-GB"/>
        </w:rPr>
        <w:t>,</w:t>
      </w:r>
      <w:r w:rsidR="006A615E" w:rsidRPr="00A25560">
        <w:rPr>
          <w:lang w:val="en-GB"/>
        </w:rPr>
        <w:t xml:space="preserve"> agreed way of communicating can support all voices to be heard</w:t>
      </w:r>
      <w:r w:rsidRPr="00A25560">
        <w:rPr>
          <w:lang w:val="en-GB"/>
        </w:rPr>
        <w:t xml:space="preserve"> in a session</w:t>
      </w:r>
      <w:r w:rsidR="006A615E" w:rsidRPr="00A25560">
        <w:rPr>
          <w:lang w:val="en-GB"/>
        </w:rPr>
        <w:t>.</w:t>
      </w:r>
    </w:p>
    <w:p w14:paraId="702A9EF1" w14:textId="77777777" w:rsidR="00B44C55" w:rsidRDefault="00B44C55" w:rsidP="00F64945">
      <w:pPr>
        <w:rPr>
          <w:lang w:val="en-GB"/>
        </w:rPr>
      </w:pPr>
    </w:p>
    <w:tbl>
      <w:tblPr>
        <w:tblStyle w:val="TableGrid"/>
        <w:tblW w:w="0" w:type="auto"/>
        <w:tblLook w:val="04A0" w:firstRow="1" w:lastRow="0" w:firstColumn="1" w:lastColumn="0" w:noHBand="0" w:noVBand="1"/>
      </w:tblPr>
      <w:tblGrid>
        <w:gridCol w:w="10790"/>
      </w:tblGrid>
      <w:tr w:rsidR="00B44C55" w14:paraId="1FB7F901" w14:textId="77777777" w:rsidTr="00B44C55">
        <w:tc>
          <w:tcPr>
            <w:tcW w:w="10790" w:type="dxa"/>
          </w:tcPr>
          <w:p w14:paraId="0706820E" w14:textId="75885BE6" w:rsidR="00B44C55" w:rsidRPr="00B44C55" w:rsidRDefault="00B44C55" w:rsidP="00F64945">
            <w:r w:rsidRPr="00B44C55">
              <w:t xml:space="preserve">Example: A group agrees to mute everyone during discussion with the speaker being the only person unmuted. Participants then wave their hand to come in next. This allows for clarity of audio and also prevents individuals being spoken over. </w:t>
            </w:r>
          </w:p>
        </w:tc>
      </w:tr>
    </w:tbl>
    <w:p w14:paraId="63746EF7" w14:textId="6D44D06C" w:rsidR="00D23B40" w:rsidRPr="00B44C55" w:rsidRDefault="006A615E" w:rsidP="00F64945">
      <w:pPr>
        <w:rPr>
          <w:lang w:val="en-GB"/>
        </w:rPr>
      </w:pPr>
      <w:r w:rsidRPr="00A25560">
        <w:rPr>
          <w:lang w:val="en-GB"/>
        </w:rPr>
        <w:t xml:space="preserve"> </w:t>
      </w:r>
    </w:p>
    <w:p w14:paraId="04D1DAC4" w14:textId="43FC5057" w:rsidR="00D23B40" w:rsidRPr="00623433" w:rsidRDefault="006A615E" w:rsidP="004C4CA7">
      <w:pPr>
        <w:pStyle w:val="Heading3"/>
      </w:pPr>
      <w:bookmarkStart w:id="47" w:name="_Toc70436310"/>
      <w:r w:rsidRPr="00623433">
        <w:lastRenderedPageBreak/>
        <w:t>Y3 The young people’s musical, personal and social development are monitored, and achievements are celebrated and valued.  Young people are supported by music leaders to set their own goals and targets.</w:t>
      </w:r>
      <w:bookmarkEnd w:id="47"/>
    </w:p>
    <w:p w14:paraId="01C24D4D" w14:textId="77777777" w:rsidR="00D23B40" w:rsidRPr="00300557" w:rsidRDefault="00D23B40" w:rsidP="00F64945">
      <w:pPr>
        <w:rPr>
          <w:lang w:val="en-GB"/>
        </w:rPr>
      </w:pPr>
    </w:p>
    <w:p w14:paraId="161C2A03" w14:textId="5CFCB02D" w:rsidR="00D23B40" w:rsidRDefault="00623433" w:rsidP="00F64945">
      <w:pPr>
        <w:rPr>
          <w:lang w:val="en-GB"/>
        </w:rPr>
      </w:pPr>
      <w:r>
        <w:rPr>
          <w:lang w:val="en-GB"/>
        </w:rPr>
        <w:t>There are</w:t>
      </w:r>
      <w:r w:rsidR="006A615E" w:rsidRPr="00A25560">
        <w:rPr>
          <w:lang w:val="en-GB"/>
        </w:rPr>
        <w:t xml:space="preserve"> more ways to share </w:t>
      </w:r>
      <w:r>
        <w:rPr>
          <w:lang w:val="en-GB"/>
        </w:rPr>
        <w:t>young people’s</w:t>
      </w:r>
      <w:r w:rsidR="006A615E" w:rsidRPr="00A25560">
        <w:rPr>
          <w:lang w:val="en-GB"/>
        </w:rPr>
        <w:t xml:space="preserve"> achievements online than has previously been possible</w:t>
      </w:r>
      <w:r w:rsidR="00A11B22" w:rsidRPr="00A25560">
        <w:rPr>
          <w:lang w:val="en-GB"/>
        </w:rPr>
        <w:t xml:space="preserve"> in face-to-face sessions</w:t>
      </w:r>
      <w:r w:rsidR="006A615E" w:rsidRPr="00A25560">
        <w:rPr>
          <w:lang w:val="en-GB"/>
        </w:rPr>
        <w:t>.</w:t>
      </w:r>
      <w:r w:rsidR="00A25560" w:rsidRPr="00A25560">
        <w:rPr>
          <w:lang w:val="en-GB"/>
        </w:rPr>
        <w:t xml:space="preserve"> </w:t>
      </w:r>
    </w:p>
    <w:p w14:paraId="64FF851D" w14:textId="77777777" w:rsidR="00AA4149" w:rsidRPr="00B44C55" w:rsidRDefault="00AA4149" w:rsidP="00F64945">
      <w:pPr>
        <w:rPr>
          <w:lang w:val="en-GB"/>
        </w:rPr>
      </w:pPr>
    </w:p>
    <w:tbl>
      <w:tblPr>
        <w:tblStyle w:val="TableGrid"/>
        <w:tblW w:w="0" w:type="auto"/>
        <w:tblLook w:val="04A0" w:firstRow="1" w:lastRow="0" w:firstColumn="1" w:lastColumn="0" w:noHBand="0" w:noVBand="1"/>
      </w:tblPr>
      <w:tblGrid>
        <w:gridCol w:w="10790"/>
      </w:tblGrid>
      <w:tr w:rsidR="00B44C55" w:rsidRPr="00B44C55" w14:paraId="4BA0A45B" w14:textId="77777777" w:rsidTr="00B44C55">
        <w:tc>
          <w:tcPr>
            <w:tcW w:w="10790" w:type="dxa"/>
          </w:tcPr>
          <w:p w14:paraId="5D02B32D" w14:textId="7795B843" w:rsidR="00B44C55" w:rsidRPr="00B44C55" w:rsidRDefault="00B44C55" w:rsidP="00F64945">
            <w:r w:rsidRPr="00B44C55">
              <w:t xml:space="preserve">Example: Virtual Open Mic sessions - those who are anxious to perform live have can submit pre-recorded performances. These can be celebrated and given equal time slots to the ‘live online’ performances. </w:t>
            </w:r>
          </w:p>
        </w:tc>
      </w:tr>
    </w:tbl>
    <w:p w14:paraId="44D59D40" w14:textId="5C45EBA1" w:rsidR="00D23B40" w:rsidRPr="00525212" w:rsidRDefault="006A615E" w:rsidP="004C4CA7">
      <w:pPr>
        <w:pStyle w:val="Heading3"/>
      </w:pPr>
      <w:bookmarkStart w:id="48" w:name="_Toc70436311"/>
      <w:r w:rsidRPr="00525212">
        <w:t>Y4 Young people receive clear feedback on their work, identifying next steps for individual improvement. Young people are encouraged to participate in this process through structured peer and self-reflection. Comparison to others is only made where appropriate.</w:t>
      </w:r>
      <w:bookmarkEnd w:id="48"/>
    </w:p>
    <w:p w14:paraId="51FE761E" w14:textId="77777777" w:rsidR="00D23B40" w:rsidRPr="00300557" w:rsidRDefault="00D23B40" w:rsidP="00F64945">
      <w:pPr>
        <w:rPr>
          <w:lang w:val="en-GB"/>
        </w:rPr>
      </w:pPr>
    </w:p>
    <w:p w14:paraId="2A063CE2" w14:textId="10E2D957" w:rsidR="00D23B40" w:rsidRPr="00A25560" w:rsidRDefault="008C6D1E" w:rsidP="00F64945">
      <w:pPr>
        <w:rPr>
          <w:lang w:val="en-GB"/>
        </w:rPr>
      </w:pPr>
      <w:r w:rsidRPr="00A25560">
        <w:rPr>
          <w:bCs/>
          <w:lang w:val="en-GB"/>
        </w:rPr>
        <w:t>Many</w:t>
      </w:r>
      <w:r w:rsidRPr="00A25560">
        <w:rPr>
          <w:b/>
          <w:lang w:val="en-GB"/>
        </w:rPr>
        <w:t xml:space="preserve"> </w:t>
      </w:r>
      <w:r w:rsidRPr="00A25560">
        <w:rPr>
          <w:lang w:val="en-GB"/>
        </w:rPr>
        <w:t xml:space="preserve">online platforms have in-built features that can encourage peer and self-reflection. For example, participants can use </w:t>
      </w:r>
      <w:r w:rsidR="006A615E" w:rsidRPr="00A25560">
        <w:rPr>
          <w:lang w:val="en-GB"/>
        </w:rPr>
        <w:t>polling features</w:t>
      </w:r>
      <w:r w:rsidRPr="00A25560">
        <w:rPr>
          <w:lang w:val="en-GB"/>
        </w:rPr>
        <w:t>, the</w:t>
      </w:r>
      <w:r w:rsidR="006A615E" w:rsidRPr="00A25560">
        <w:rPr>
          <w:lang w:val="en-GB"/>
        </w:rPr>
        <w:t xml:space="preserve"> group chat </w:t>
      </w:r>
      <w:r w:rsidRPr="00A25560">
        <w:rPr>
          <w:lang w:val="en-GB"/>
        </w:rPr>
        <w:t xml:space="preserve">and </w:t>
      </w:r>
      <w:r w:rsidR="006A615E" w:rsidRPr="00A25560">
        <w:rPr>
          <w:lang w:val="en-GB"/>
        </w:rPr>
        <w:t xml:space="preserve">white boards </w:t>
      </w:r>
      <w:r w:rsidRPr="00A25560">
        <w:rPr>
          <w:lang w:val="en-GB"/>
        </w:rPr>
        <w:t>to offer feedback on each other’s work and reflect on their own progress</w:t>
      </w:r>
      <w:r w:rsidR="006A615E" w:rsidRPr="00A25560">
        <w:rPr>
          <w:lang w:val="en-GB"/>
        </w:rPr>
        <w:t xml:space="preserve">. </w:t>
      </w:r>
    </w:p>
    <w:p w14:paraId="0B48A5EC" w14:textId="6B32FECF" w:rsidR="00D23B40" w:rsidRPr="001608C9" w:rsidRDefault="006A615E" w:rsidP="004C4CA7">
      <w:pPr>
        <w:pStyle w:val="Heading3"/>
      </w:pPr>
      <w:bookmarkStart w:id="49" w:name="_Toc70436312"/>
      <w:r w:rsidRPr="001608C9">
        <w:t>Y5 The music leader and/or project staff identify the need for any additional pastoral or other support, and seek to provide or signpost to this.</w:t>
      </w:r>
      <w:bookmarkEnd w:id="49"/>
    </w:p>
    <w:p w14:paraId="143F09A4" w14:textId="77777777" w:rsidR="00B878F0" w:rsidRDefault="00B878F0" w:rsidP="00F64945">
      <w:pPr>
        <w:rPr>
          <w:sz w:val="32"/>
          <w:szCs w:val="32"/>
          <w:lang w:val="en-GB"/>
        </w:rPr>
      </w:pPr>
      <w:bookmarkStart w:id="50" w:name="_l7elsopxcwwm" w:colFirst="0" w:colLast="0"/>
      <w:bookmarkEnd w:id="50"/>
      <w:r>
        <w:rPr>
          <w:lang w:val="en-GB"/>
        </w:rPr>
        <w:br w:type="page"/>
      </w:r>
    </w:p>
    <w:p w14:paraId="65DC619A" w14:textId="2F120126" w:rsidR="00D23B40" w:rsidRPr="00300557" w:rsidRDefault="006A615E" w:rsidP="00F64945">
      <w:pPr>
        <w:pStyle w:val="Heading2"/>
        <w:rPr>
          <w:lang w:val="en-GB"/>
        </w:rPr>
      </w:pPr>
      <w:bookmarkStart w:id="51" w:name="_Toc70436313"/>
      <w:bookmarkStart w:id="52" w:name="_Toc72855480"/>
      <w:r w:rsidRPr="00300557">
        <w:rPr>
          <w:lang w:val="en-GB"/>
        </w:rPr>
        <w:lastRenderedPageBreak/>
        <w:t>Music leader practice</w:t>
      </w:r>
      <w:bookmarkEnd w:id="51"/>
      <w:bookmarkEnd w:id="52"/>
    </w:p>
    <w:p w14:paraId="5CEDC5F1" w14:textId="40FE4315" w:rsidR="00D23B40" w:rsidRPr="00E42F80" w:rsidRDefault="006A615E" w:rsidP="004C4CA7">
      <w:pPr>
        <w:pStyle w:val="Heading3"/>
      </w:pPr>
      <w:bookmarkStart w:id="53" w:name="_Toc70436314"/>
      <w:r w:rsidRPr="00E42F80">
        <w:t>M1 The music leader has relevant musical competence, and is both an able practitioner and positive role model.</w:t>
      </w:r>
      <w:bookmarkEnd w:id="53"/>
    </w:p>
    <w:p w14:paraId="40E7DB09" w14:textId="57843D32" w:rsidR="00D23B40" w:rsidRPr="00E42F80" w:rsidRDefault="006A615E" w:rsidP="004C4CA7">
      <w:pPr>
        <w:pStyle w:val="Heading3"/>
      </w:pPr>
      <w:bookmarkStart w:id="54" w:name="_Toc70436315"/>
      <w:r w:rsidRPr="00E42F80">
        <w:t>M2 The music leader has a clear intention and has planned the session accordingly, while retaining room for flexibility.</w:t>
      </w:r>
      <w:bookmarkEnd w:id="54"/>
      <w:r w:rsidRPr="00E42F80">
        <w:t xml:space="preserve">  </w:t>
      </w:r>
    </w:p>
    <w:p w14:paraId="19CAAD22" w14:textId="77777777" w:rsidR="00D23B40" w:rsidRPr="00300557" w:rsidRDefault="00D23B40" w:rsidP="00F64945">
      <w:pPr>
        <w:rPr>
          <w:lang w:val="en-GB"/>
        </w:rPr>
      </w:pPr>
    </w:p>
    <w:p w14:paraId="0F60A20F" w14:textId="05D5B163" w:rsidR="00D23B40" w:rsidRPr="00AC3FAA" w:rsidRDefault="006A615E" w:rsidP="00F64945">
      <w:pPr>
        <w:rPr>
          <w:lang w:val="en-GB"/>
        </w:rPr>
      </w:pPr>
      <w:r w:rsidRPr="00AC3FAA">
        <w:rPr>
          <w:lang w:val="en-GB"/>
        </w:rPr>
        <w:t xml:space="preserve">Music leaders may need to carry out more detailed sessions plans for online activity to allow them to respond flexibly. </w:t>
      </w:r>
    </w:p>
    <w:p w14:paraId="5BB8040C" w14:textId="7E232420" w:rsidR="000D002D" w:rsidRDefault="000D002D" w:rsidP="00F64945">
      <w:pPr>
        <w:rPr>
          <w:lang w:val="en-GB"/>
        </w:rPr>
      </w:pPr>
    </w:p>
    <w:tbl>
      <w:tblPr>
        <w:tblStyle w:val="TableGrid"/>
        <w:tblW w:w="0" w:type="auto"/>
        <w:tblLook w:val="04A0" w:firstRow="1" w:lastRow="0" w:firstColumn="1" w:lastColumn="0" w:noHBand="0" w:noVBand="1"/>
      </w:tblPr>
      <w:tblGrid>
        <w:gridCol w:w="10790"/>
      </w:tblGrid>
      <w:tr w:rsidR="00871A84" w14:paraId="0AFFAC67" w14:textId="77777777" w:rsidTr="00871A84">
        <w:tc>
          <w:tcPr>
            <w:tcW w:w="10790" w:type="dxa"/>
          </w:tcPr>
          <w:p w14:paraId="5CAD9A27" w14:textId="73759853" w:rsidR="00871A84" w:rsidRPr="00871A84" w:rsidRDefault="00871A84" w:rsidP="00F64945">
            <w:r w:rsidRPr="00871A84">
              <w:t>Example: A music leader plans an online singing workshop. In case there are connectivity issues, they plan for an additional option of the music leader becoming the singer and taking direction from the young people via the chat function, putting the participants in the producer role.</w:t>
            </w:r>
          </w:p>
        </w:tc>
      </w:tr>
    </w:tbl>
    <w:p w14:paraId="70652D5F" w14:textId="63B83841" w:rsidR="00D23B40" w:rsidRPr="00300557" w:rsidRDefault="00D23B40" w:rsidP="00F64945">
      <w:pPr>
        <w:rPr>
          <w:lang w:val="en-GB"/>
        </w:rPr>
      </w:pPr>
    </w:p>
    <w:p w14:paraId="748A7C3C" w14:textId="376232A5" w:rsidR="00D23B40" w:rsidRPr="00AC3FAA" w:rsidRDefault="006A615E" w:rsidP="00F64945">
      <w:pPr>
        <w:rPr>
          <w:lang w:val="en-GB"/>
        </w:rPr>
      </w:pPr>
      <w:r w:rsidRPr="00AC3FAA">
        <w:rPr>
          <w:lang w:val="en-GB"/>
        </w:rPr>
        <w:t xml:space="preserve">Music leaders should consider reducing the amount of session content planned to allow time for non-musical activity which would happen naturally in a face-to-face setting. </w:t>
      </w:r>
    </w:p>
    <w:p w14:paraId="5AAE85CB" w14:textId="184596AC" w:rsidR="009D1034" w:rsidRDefault="009D1034" w:rsidP="00F64945">
      <w:pPr>
        <w:rPr>
          <w:lang w:val="en-GB"/>
        </w:rPr>
      </w:pPr>
    </w:p>
    <w:tbl>
      <w:tblPr>
        <w:tblStyle w:val="TableGrid"/>
        <w:tblW w:w="0" w:type="auto"/>
        <w:tblLook w:val="04A0" w:firstRow="1" w:lastRow="0" w:firstColumn="1" w:lastColumn="0" w:noHBand="0" w:noVBand="1"/>
      </w:tblPr>
      <w:tblGrid>
        <w:gridCol w:w="10790"/>
      </w:tblGrid>
      <w:tr w:rsidR="00871A84" w14:paraId="2DFE0DF3" w14:textId="77777777" w:rsidTr="00871A84">
        <w:tc>
          <w:tcPr>
            <w:tcW w:w="10790" w:type="dxa"/>
          </w:tcPr>
          <w:p w14:paraId="2D54EC68" w14:textId="405BD2CE" w:rsidR="00871A84" w:rsidRPr="00871A84" w:rsidRDefault="00871A84" w:rsidP="00F64945">
            <w:r w:rsidRPr="00871A84">
              <w:t xml:space="preserve">Example: A music leader plans social time and icebreakers into online sessions, reducing the amount of musical activity. This includes conversations about music and about other interests. Whilst the time spent creating music is reduced, the quality of the session increases as young people have more ownership over the space, which otherwise may feel artificial. </w:t>
            </w:r>
          </w:p>
        </w:tc>
      </w:tr>
    </w:tbl>
    <w:p w14:paraId="0C1DF6F9" w14:textId="3246312D" w:rsidR="00D23B40" w:rsidRPr="00634931" w:rsidRDefault="006A615E" w:rsidP="004C4CA7">
      <w:pPr>
        <w:pStyle w:val="Heading3"/>
      </w:pPr>
      <w:bookmarkStart w:id="55" w:name="_Toc70436316"/>
      <w:r w:rsidRPr="00634931">
        <w:t>M3 The music leader plans sessions that enable young people to make progress and nurtures their understanding of what it means to be a musician.</w:t>
      </w:r>
      <w:bookmarkEnd w:id="55"/>
    </w:p>
    <w:p w14:paraId="40FEBE06" w14:textId="7A252A1B" w:rsidR="00D23B40" w:rsidRPr="00634931" w:rsidRDefault="006A615E" w:rsidP="004C4CA7">
      <w:pPr>
        <w:pStyle w:val="Heading3"/>
      </w:pPr>
      <w:bookmarkStart w:id="56" w:name="_Toc70436317"/>
      <w:r w:rsidRPr="00634931">
        <w:t>M4 The music leader regularly checks young people’s understanding. They reflect on their own practice: activities are reviewed and adapted over the course of the session according to how the young people respond.</w:t>
      </w:r>
      <w:bookmarkEnd w:id="56"/>
      <w:r w:rsidRPr="00634931">
        <w:t xml:space="preserve">  </w:t>
      </w:r>
    </w:p>
    <w:p w14:paraId="07CCB5EA" w14:textId="6D7BEC7F" w:rsidR="00D23B40" w:rsidRPr="00300557" w:rsidRDefault="00D23B40" w:rsidP="00F64945">
      <w:pPr>
        <w:rPr>
          <w:lang w:val="en-GB"/>
        </w:rPr>
      </w:pPr>
    </w:p>
    <w:p w14:paraId="536B7B4B" w14:textId="267A4162" w:rsidR="00D23B40" w:rsidRPr="00AB3C2D" w:rsidRDefault="006A615E" w:rsidP="00F64945">
      <w:pPr>
        <w:rPr>
          <w:lang w:val="en-GB"/>
        </w:rPr>
      </w:pPr>
      <w:r w:rsidRPr="00AB3C2D">
        <w:rPr>
          <w:lang w:val="en-GB"/>
        </w:rPr>
        <w:t xml:space="preserve">Music leaders may need to allow for more </w:t>
      </w:r>
      <w:r w:rsidR="00502991" w:rsidRPr="00AB3C2D">
        <w:rPr>
          <w:lang w:val="en-GB"/>
        </w:rPr>
        <w:t>short</w:t>
      </w:r>
      <w:r w:rsidRPr="00AB3C2D">
        <w:rPr>
          <w:lang w:val="en-GB"/>
        </w:rPr>
        <w:t xml:space="preserve"> breaks and check</w:t>
      </w:r>
      <w:r w:rsidR="00A81442" w:rsidRPr="00AB3C2D">
        <w:rPr>
          <w:lang w:val="en-GB"/>
        </w:rPr>
        <w:t>-</w:t>
      </w:r>
      <w:r w:rsidRPr="00AB3C2D">
        <w:rPr>
          <w:lang w:val="en-GB"/>
        </w:rPr>
        <w:t>ins to monitor participants’ understanding of the session content.</w:t>
      </w:r>
    </w:p>
    <w:p w14:paraId="09CE21C1" w14:textId="51FF4198" w:rsidR="00502991" w:rsidRDefault="00502991" w:rsidP="00F64945">
      <w:pPr>
        <w:rPr>
          <w:lang w:val="en-GB"/>
        </w:rPr>
      </w:pPr>
    </w:p>
    <w:tbl>
      <w:tblPr>
        <w:tblStyle w:val="TableGrid"/>
        <w:tblW w:w="0" w:type="auto"/>
        <w:tblLook w:val="04A0" w:firstRow="1" w:lastRow="0" w:firstColumn="1" w:lastColumn="0" w:noHBand="0" w:noVBand="1"/>
      </w:tblPr>
      <w:tblGrid>
        <w:gridCol w:w="10790"/>
      </w:tblGrid>
      <w:tr w:rsidR="00A3435B" w14:paraId="3B2162F8" w14:textId="77777777" w:rsidTr="00A3435B">
        <w:tc>
          <w:tcPr>
            <w:tcW w:w="10790" w:type="dxa"/>
          </w:tcPr>
          <w:p w14:paraId="0ABE21BF" w14:textId="648B74DF" w:rsidR="00A3435B" w:rsidRPr="00A3435B" w:rsidRDefault="00A3435B" w:rsidP="00F64945">
            <w:r w:rsidRPr="00A3435B">
              <w:t xml:space="preserve">Example: In an online session, a music leader is not able to assess the progress of the whole group’s understanding of pulse and rhythm simultaneously within a group clapping game. The </w:t>
            </w:r>
            <w:r w:rsidRPr="00A3435B">
              <w:lastRenderedPageBreak/>
              <w:t>music leader plans additional time to monitor each individual's understanding separately, through call and response, 1-to-1s or solo play throughs.</w:t>
            </w:r>
          </w:p>
        </w:tc>
      </w:tr>
    </w:tbl>
    <w:p w14:paraId="4DE20D86" w14:textId="72ABDF40" w:rsidR="00D23B40" w:rsidRPr="00B724DF" w:rsidRDefault="006A615E" w:rsidP="004C4CA7">
      <w:pPr>
        <w:pStyle w:val="Heading3"/>
      </w:pPr>
      <w:bookmarkStart w:id="57" w:name="_Toc70436318"/>
      <w:r w:rsidRPr="00B724DF">
        <w:lastRenderedPageBreak/>
        <w:t>M5 All project staff are actively engaged with activities. Music leaders and other project staff communicate before, during and/or after the session and collaborate in planning activities. Roles and responsibilities are clear to all involved.</w:t>
      </w:r>
      <w:bookmarkEnd w:id="57"/>
    </w:p>
    <w:p w14:paraId="6CC9E736" w14:textId="77777777" w:rsidR="00604BCD" w:rsidRDefault="00604BCD" w:rsidP="00F64945">
      <w:pPr>
        <w:rPr>
          <w:lang w:val="en-GB"/>
        </w:rPr>
      </w:pPr>
    </w:p>
    <w:p w14:paraId="199F870A" w14:textId="2B816393" w:rsidR="00D23B40" w:rsidRPr="00577F72" w:rsidRDefault="0007344E" w:rsidP="00F64945">
      <w:pPr>
        <w:rPr>
          <w:lang w:val="en-GB"/>
        </w:rPr>
      </w:pPr>
      <w:r>
        <w:rPr>
          <w:bCs/>
          <w:lang w:val="en-GB"/>
        </w:rPr>
        <w:t>This</w:t>
      </w:r>
      <w:r w:rsidR="006A615E" w:rsidRPr="00577F72">
        <w:rPr>
          <w:lang w:val="en-GB"/>
        </w:rPr>
        <w:t xml:space="preserve"> might include parents</w:t>
      </w:r>
      <w:r w:rsidR="00D15ACF" w:rsidRPr="00577F72">
        <w:rPr>
          <w:lang w:val="en-GB"/>
        </w:rPr>
        <w:t xml:space="preserve"> and </w:t>
      </w:r>
      <w:r w:rsidR="006A615E" w:rsidRPr="00577F72">
        <w:rPr>
          <w:lang w:val="en-GB"/>
        </w:rPr>
        <w:t>carers at home</w:t>
      </w:r>
      <w:r w:rsidR="0060494B" w:rsidRPr="00577F72">
        <w:rPr>
          <w:lang w:val="en-GB"/>
        </w:rPr>
        <w:t xml:space="preserve">, who </w:t>
      </w:r>
      <w:r w:rsidR="005552ED" w:rsidRPr="00577F72">
        <w:rPr>
          <w:lang w:val="en-GB"/>
        </w:rPr>
        <w:t>often play a crucial role in</w:t>
      </w:r>
      <w:r w:rsidR="006A615E" w:rsidRPr="00577F72">
        <w:rPr>
          <w:lang w:val="en-GB"/>
        </w:rPr>
        <w:t xml:space="preserve"> supporting </w:t>
      </w:r>
      <w:r w:rsidR="00555085">
        <w:rPr>
          <w:lang w:val="en-GB"/>
        </w:rPr>
        <w:t xml:space="preserve">with </w:t>
      </w:r>
      <w:r w:rsidR="006A615E" w:rsidRPr="00577F72">
        <w:rPr>
          <w:lang w:val="en-GB"/>
        </w:rPr>
        <w:t>tech</w:t>
      </w:r>
      <w:r w:rsidR="005552ED" w:rsidRPr="00577F72">
        <w:rPr>
          <w:lang w:val="en-GB"/>
        </w:rPr>
        <w:t>nology.  Many organisations’ safeguarding policies will require parents to be in attendance</w:t>
      </w:r>
      <w:r w:rsidR="006A615E" w:rsidRPr="00577F72">
        <w:rPr>
          <w:lang w:val="en-GB"/>
        </w:rPr>
        <w:t xml:space="preserve">, so </w:t>
      </w:r>
      <w:r w:rsidR="005552ED" w:rsidRPr="00577F72">
        <w:rPr>
          <w:lang w:val="en-GB"/>
        </w:rPr>
        <w:t xml:space="preserve">it makes sense to </w:t>
      </w:r>
      <w:r w:rsidR="006A615E" w:rsidRPr="00577F72">
        <w:rPr>
          <w:lang w:val="en-GB"/>
        </w:rPr>
        <w:t>get them more actively involved</w:t>
      </w:r>
      <w:r w:rsidR="005552ED" w:rsidRPr="00577F72">
        <w:rPr>
          <w:lang w:val="en-GB"/>
        </w:rPr>
        <w:t xml:space="preserve"> in the session.</w:t>
      </w:r>
    </w:p>
    <w:p w14:paraId="29772208" w14:textId="77777777" w:rsidR="00B878F0" w:rsidRDefault="00B878F0" w:rsidP="00F64945">
      <w:pPr>
        <w:rPr>
          <w:sz w:val="32"/>
          <w:szCs w:val="32"/>
          <w:lang w:val="en-GB"/>
        </w:rPr>
      </w:pPr>
      <w:bookmarkStart w:id="58" w:name="_qycjbgd9t469" w:colFirst="0" w:colLast="0"/>
      <w:bookmarkEnd w:id="58"/>
      <w:r>
        <w:rPr>
          <w:lang w:val="en-GB"/>
        </w:rPr>
        <w:br w:type="page"/>
      </w:r>
    </w:p>
    <w:p w14:paraId="33185F20" w14:textId="73F0B3B2" w:rsidR="00D23B40" w:rsidRPr="00300557" w:rsidRDefault="006A615E" w:rsidP="00F64945">
      <w:pPr>
        <w:pStyle w:val="Heading2"/>
        <w:rPr>
          <w:lang w:val="en-GB"/>
        </w:rPr>
      </w:pPr>
      <w:bookmarkStart w:id="59" w:name="_Toc70436319"/>
      <w:bookmarkStart w:id="60" w:name="_Toc72855481"/>
      <w:r w:rsidRPr="00300557">
        <w:rPr>
          <w:lang w:val="en-GB"/>
        </w:rPr>
        <w:lastRenderedPageBreak/>
        <w:t>Session content</w:t>
      </w:r>
      <w:bookmarkEnd w:id="59"/>
      <w:bookmarkEnd w:id="60"/>
    </w:p>
    <w:p w14:paraId="49061F2C" w14:textId="2BBBD8C4" w:rsidR="00D23B40" w:rsidRPr="00F071AA" w:rsidRDefault="006A615E" w:rsidP="004C4CA7">
      <w:pPr>
        <w:pStyle w:val="Heading3"/>
      </w:pPr>
      <w:bookmarkStart w:id="61" w:name="_Toc70436320"/>
      <w:r w:rsidRPr="00F071AA">
        <w:t>S1 Activities are engaging, inspiring and purposeful. They are clearly explained and/or demonstrated to the young people.</w:t>
      </w:r>
      <w:bookmarkEnd w:id="61"/>
    </w:p>
    <w:p w14:paraId="1AA530FB" w14:textId="77777777" w:rsidR="00397697" w:rsidRPr="00300557" w:rsidRDefault="00397697" w:rsidP="00F64945">
      <w:pPr>
        <w:rPr>
          <w:lang w:val="en-GB"/>
        </w:rPr>
      </w:pPr>
    </w:p>
    <w:p w14:paraId="680724C7" w14:textId="2AB065EB" w:rsidR="00D23B40" w:rsidRPr="009B0951" w:rsidRDefault="006A615E" w:rsidP="00F64945">
      <w:pPr>
        <w:rPr>
          <w:lang w:val="en-GB"/>
        </w:rPr>
      </w:pPr>
      <w:r w:rsidRPr="009B0951">
        <w:rPr>
          <w:lang w:val="en-GB"/>
        </w:rPr>
        <w:t>Music leaders should consider</w:t>
      </w:r>
      <w:r w:rsidR="00141498">
        <w:rPr>
          <w:lang w:val="en-GB"/>
        </w:rPr>
        <w:t xml:space="preserve"> the</w:t>
      </w:r>
      <w:r w:rsidRPr="009B0951">
        <w:rPr>
          <w:lang w:val="en-GB"/>
        </w:rPr>
        <w:t xml:space="preserve"> pace of learning and be aware that certain activities may take longer to complete when working online</w:t>
      </w:r>
      <w:r w:rsidR="00397697" w:rsidRPr="009B0951">
        <w:rPr>
          <w:lang w:val="en-GB"/>
        </w:rPr>
        <w:t>.</w:t>
      </w:r>
    </w:p>
    <w:p w14:paraId="5C664A26" w14:textId="77777777" w:rsidR="00397697" w:rsidRPr="009B0951" w:rsidRDefault="00397697" w:rsidP="00F64945">
      <w:pPr>
        <w:rPr>
          <w:lang w:val="en-GB"/>
        </w:rPr>
      </w:pPr>
    </w:p>
    <w:p w14:paraId="242066C7" w14:textId="5C0FAED0" w:rsidR="00D23B40" w:rsidRPr="009B0951" w:rsidRDefault="006A615E" w:rsidP="00F64945">
      <w:pPr>
        <w:rPr>
          <w:lang w:val="en-GB"/>
        </w:rPr>
      </w:pPr>
      <w:r w:rsidRPr="009B0951">
        <w:rPr>
          <w:lang w:val="en-GB"/>
        </w:rPr>
        <w:t>Just because a session is online</w:t>
      </w:r>
      <w:r w:rsidR="00CE77EC" w:rsidRPr="009B0951">
        <w:rPr>
          <w:lang w:val="en-GB"/>
        </w:rPr>
        <w:t>,</w:t>
      </w:r>
      <w:r w:rsidRPr="009B0951">
        <w:rPr>
          <w:lang w:val="en-GB"/>
        </w:rPr>
        <w:t xml:space="preserve"> activities don’t </w:t>
      </w:r>
      <w:r w:rsidR="00CE77EC" w:rsidRPr="009B0951">
        <w:rPr>
          <w:lang w:val="en-GB"/>
        </w:rPr>
        <w:t xml:space="preserve">all </w:t>
      </w:r>
      <w:r w:rsidRPr="009B0951">
        <w:rPr>
          <w:lang w:val="en-GB"/>
        </w:rPr>
        <w:t>have to be screen</w:t>
      </w:r>
      <w:r w:rsidR="00CE77EC" w:rsidRPr="009B0951">
        <w:rPr>
          <w:lang w:val="en-GB"/>
        </w:rPr>
        <w:t>-</w:t>
      </w:r>
      <w:r w:rsidRPr="009B0951">
        <w:rPr>
          <w:lang w:val="en-GB"/>
        </w:rPr>
        <w:t xml:space="preserve">based. </w:t>
      </w:r>
      <w:r w:rsidR="009B0951" w:rsidRPr="009B0951">
        <w:rPr>
          <w:lang w:val="en-GB"/>
        </w:rPr>
        <w:t xml:space="preserve">A variety </w:t>
      </w:r>
      <w:r w:rsidR="00B878F0">
        <w:rPr>
          <w:lang w:val="en-GB"/>
        </w:rPr>
        <w:t xml:space="preserve">of </w:t>
      </w:r>
      <w:r w:rsidR="009B0951" w:rsidRPr="009B0951">
        <w:rPr>
          <w:lang w:val="en-GB"/>
        </w:rPr>
        <w:t>activities can help to increase engagement.</w:t>
      </w:r>
      <w:r w:rsidRPr="009B0951">
        <w:rPr>
          <w:lang w:val="en-GB"/>
        </w:rPr>
        <w:t xml:space="preserve"> </w:t>
      </w:r>
    </w:p>
    <w:p w14:paraId="02CD5A9D" w14:textId="6E5E9827" w:rsidR="00461DBD" w:rsidRDefault="00461DBD" w:rsidP="00F64945">
      <w:pPr>
        <w:rPr>
          <w:lang w:val="en-GB"/>
        </w:rPr>
      </w:pPr>
    </w:p>
    <w:tbl>
      <w:tblPr>
        <w:tblStyle w:val="TableGrid"/>
        <w:tblW w:w="0" w:type="auto"/>
        <w:tblLook w:val="04A0" w:firstRow="1" w:lastRow="0" w:firstColumn="1" w:lastColumn="0" w:noHBand="0" w:noVBand="1"/>
      </w:tblPr>
      <w:tblGrid>
        <w:gridCol w:w="10790"/>
      </w:tblGrid>
      <w:tr w:rsidR="000422EC" w14:paraId="5B96F192" w14:textId="77777777" w:rsidTr="000422EC">
        <w:tc>
          <w:tcPr>
            <w:tcW w:w="10790" w:type="dxa"/>
          </w:tcPr>
          <w:p w14:paraId="6BB360D6" w14:textId="22AD39BB" w:rsidR="000422EC" w:rsidRPr="000422EC" w:rsidRDefault="000422EC" w:rsidP="00F64945">
            <w:r w:rsidRPr="000422EC">
              <w:t xml:space="preserve">Example: During an online session, the group all turn their cameras off and mute their microphones. They then go and spend five minutes finding a few percussive sounds from household items to bring back to the group. </w:t>
            </w:r>
          </w:p>
        </w:tc>
      </w:tr>
    </w:tbl>
    <w:p w14:paraId="3DFFF58C" w14:textId="77777777" w:rsidR="000422EC" w:rsidRPr="009B0951" w:rsidRDefault="000422EC" w:rsidP="00F64945">
      <w:pPr>
        <w:rPr>
          <w:lang w:val="en-GB"/>
        </w:rPr>
      </w:pPr>
    </w:p>
    <w:p w14:paraId="16FB241E" w14:textId="171B679A" w:rsidR="00D23B40" w:rsidRPr="00DC60C7" w:rsidRDefault="006A615E" w:rsidP="004C4CA7">
      <w:pPr>
        <w:pStyle w:val="Heading3"/>
      </w:pPr>
      <w:bookmarkStart w:id="62" w:name="_Toc70436321"/>
      <w:r w:rsidRPr="00DC60C7">
        <w:t>S2 Ownership of session content is shared between the music leader and young people.  Participants contribute to decision-making and have the opportunity to take on leadership roles where appropriate.</w:t>
      </w:r>
      <w:bookmarkEnd w:id="62"/>
    </w:p>
    <w:p w14:paraId="3BA5543D" w14:textId="77777777" w:rsidR="00D23B40" w:rsidRPr="00300557" w:rsidRDefault="00D23B40" w:rsidP="00F64945">
      <w:pPr>
        <w:rPr>
          <w:lang w:val="en-GB"/>
        </w:rPr>
      </w:pPr>
    </w:p>
    <w:p w14:paraId="509D6A9F" w14:textId="0B9CC767" w:rsidR="00D23B40" w:rsidRDefault="006A615E" w:rsidP="00F64945">
      <w:pPr>
        <w:rPr>
          <w:lang w:val="en-GB"/>
        </w:rPr>
      </w:pPr>
      <w:r w:rsidRPr="009B0951">
        <w:rPr>
          <w:lang w:val="en-GB"/>
        </w:rPr>
        <w:t xml:space="preserve">Music leaders may need to spend more time on group dynamics and personal development at the beginning of projects to </w:t>
      </w:r>
      <w:r w:rsidR="00523B46" w:rsidRPr="009B0951">
        <w:rPr>
          <w:lang w:val="en-GB"/>
        </w:rPr>
        <w:t xml:space="preserve">help </w:t>
      </w:r>
      <w:r w:rsidRPr="009B0951">
        <w:rPr>
          <w:lang w:val="en-GB"/>
        </w:rPr>
        <w:t>young people to feel comfortable in sharing their views</w:t>
      </w:r>
      <w:r w:rsidR="00523B46" w:rsidRPr="009B0951">
        <w:rPr>
          <w:lang w:val="en-GB"/>
        </w:rPr>
        <w:t xml:space="preserve">.  Facilitators should </w:t>
      </w:r>
      <w:r w:rsidRPr="009B0951">
        <w:rPr>
          <w:lang w:val="en-GB"/>
        </w:rPr>
        <w:t>not be disheartened if this takes longer to achieve</w:t>
      </w:r>
      <w:r w:rsidR="00523B46" w:rsidRPr="009B0951">
        <w:rPr>
          <w:lang w:val="en-GB"/>
        </w:rPr>
        <w:t xml:space="preserve"> than in face-to-face sessions</w:t>
      </w:r>
      <w:r w:rsidRPr="009B0951">
        <w:rPr>
          <w:lang w:val="en-GB"/>
        </w:rPr>
        <w:t xml:space="preserve">. </w:t>
      </w:r>
    </w:p>
    <w:p w14:paraId="189A673A" w14:textId="730D62C2" w:rsidR="00DC60C7" w:rsidRDefault="00DC60C7" w:rsidP="00F64945">
      <w:pPr>
        <w:rPr>
          <w:lang w:val="en-GB"/>
        </w:rPr>
      </w:pPr>
    </w:p>
    <w:tbl>
      <w:tblPr>
        <w:tblStyle w:val="TableGrid"/>
        <w:tblW w:w="0" w:type="auto"/>
        <w:tblLook w:val="04A0" w:firstRow="1" w:lastRow="0" w:firstColumn="1" w:lastColumn="0" w:noHBand="0" w:noVBand="1"/>
      </w:tblPr>
      <w:tblGrid>
        <w:gridCol w:w="10790"/>
      </w:tblGrid>
      <w:tr w:rsidR="000422EC" w14:paraId="4C2CA899" w14:textId="77777777" w:rsidTr="000422EC">
        <w:tc>
          <w:tcPr>
            <w:tcW w:w="10790" w:type="dxa"/>
          </w:tcPr>
          <w:p w14:paraId="68CAEE81" w14:textId="5B431F2C" w:rsidR="000422EC" w:rsidRPr="000422EC" w:rsidRDefault="000422EC" w:rsidP="00F64945">
            <w:r w:rsidRPr="000422EC">
              <w:t>Example: A music leader finds that it takes a few sessions for a young person to appear on video in sessions, and others in the group choose not to do this throughout the project. They ensure that everyone in the group can engage in a way that they feel comfortable, and plan activities the young people can take part in via chat or microphone. For example, they give a participant remote control of their computer with Ableton, allowing the young person to create music without appearing on camera or communicating verbally. The young person is able to actively engage and take ownership of the session content.</w:t>
            </w:r>
          </w:p>
        </w:tc>
      </w:tr>
    </w:tbl>
    <w:p w14:paraId="17661FE1" w14:textId="39860AC6" w:rsidR="00D23B40" w:rsidRPr="00DF724D" w:rsidRDefault="006A615E" w:rsidP="004C4CA7">
      <w:pPr>
        <w:pStyle w:val="Heading3"/>
      </w:pPr>
      <w:bookmarkStart w:id="63" w:name="_Toc70436322"/>
      <w:r w:rsidRPr="00DF724D">
        <w:lastRenderedPageBreak/>
        <w:t>S3 Young people are supported to create and make their own music, and broaden their musical horizons over time.</w:t>
      </w:r>
      <w:bookmarkEnd w:id="63"/>
    </w:p>
    <w:p w14:paraId="43E1A958" w14:textId="1F8B49F8" w:rsidR="00D23B40" w:rsidRPr="00506EB6" w:rsidRDefault="006A615E" w:rsidP="004C4CA7">
      <w:pPr>
        <w:pStyle w:val="Heading3"/>
      </w:pPr>
      <w:bookmarkStart w:id="64" w:name="_Toc70436323"/>
      <w:r w:rsidRPr="00506EB6">
        <w:t>S4 Activities are designed and delivered in a manner that is accessible to all and tailored to each individual whenever possible, taking account of their starting points and aspirations. Group dynamics and pace of learning have been considered.</w:t>
      </w:r>
      <w:bookmarkEnd w:id="64"/>
    </w:p>
    <w:p w14:paraId="432A6E0F" w14:textId="77777777" w:rsidR="00D23B40" w:rsidRPr="00300557" w:rsidRDefault="00D23B40" w:rsidP="00F64945">
      <w:pPr>
        <w:rPr>
          <w:lang w:val="en-GB"/>
        </w:rPr>
      </w:pPr>
    </w:p>
    <w:p w14:paraId="4CFFA836" w14:textId="77777777" w:rsidR="009E6A3A" w:rsidRDefault="006A615E" w:rsidP="00F64945">
      <w:pPr>
        <w:rPr>
          <w:lang w:val="en-GB"/>
        </w:rPr>
      </w:pPr>
      <w:r w:rsidRPr="009E6A3A">
        <w:rPr>
          <w:lang w:val="en-GB"/>
        </w:rPr>
        <w:t>Accessibility should be considered in advance of sessions</w:t>
      </w:r>
      <w:r w:rsidR="0088182D" w:rsidRPr="009E6A3A">
        <w:rPr>
          <w:lang w:val="en-GB"/>
        </w:rPr>
        <w:t>. W</w:t>
      </w:r>
      <w:r w:rsidRPr="009E6A3A">
        <w:rPr>
          <w:lang w:val="en-GB"/>
        </w:rPr>
        <w:t>ays of supporting this might include</w:t>
      </w:r>
      <w:r w:rsidR="00B85DE9" w:rsidRPr="009E6A3A">
        <w:rPr>
          <w:lang w:val="en-GB"/>
        </w:rPr>
        <w:t xml:space="preserve">: </w:t>
      </w:r>
    </w:p>
    <w:p w14:paraId="0517F104" w14:textId="4FD5244D" w:rsidR="009E6A3A" w:rsidRDefault="006A615E" w:rsidP="00F64945">
      <w:pPr>
        <w:pStyle w:val="ListParagraph"/>
        <w:numPr>
          <w:ilvl w:val="0"/>
          <w:numId w:val="7"/>
        </w:numPr>
        <w:rPr>
          <w:lang w:val="en-GB"/>
        </w:rPr>
      </w:pPr>
      <w:r w:rsidRPr="009E6A3A">
        <w:rPr>
          <w:lang w:val="en-GB"/>
        </w:rPr>
        <w:t xml:space="preserve">producing easy read materials </w:t>
      </w:r>
    </w:p>
    <w:p w14:paraId="0F75C9E5" w14:textId="77777777" w:rsidR="009E6A3A" w:rsidRDefault="006A615E" w:rsidP="00F64945">
      <w:pPr>
        <w:pStyle w:val="ListParagraph"/>
        <w:numPr>
          <w:ilvl w:val="0"/>
          <w:numId w:val="7"/>
        </w:numPr>
        <w:rPr>
          <w:lang w:val="en-GB"/>
        </w:rPr>
      </w:pPr>
      <w:r w:rsidRPr="009E6A3A">
        <w:rPr>
          <w:lang w:val="en-GB"/>
        </w:rPr>
        <w:t>posting relevant items</w:t>
      </w:r>
      <w:r w:rsidR="00B85DE9" w:rsidRPr="009E6A3A">
        <w:rPr>
          <w:lang w:val="en-GB"/>
        </w:rPr>
        <w:t xml:space="preserve"> to participants</w:t>
      </w:r>
    </w:p>
    <w:p w14:paraId="4717F635" w14:textId="771CFF82" w:rsidR="009E6A3A" w:rsidRDefault="006A615E" w:rsidP="00F64945">
      <w:pPr>
        <w:pStyle w:val="ListParagraph"/>
        <w:numPr>
          <w:ilvl w:val="0"/>
          <w:numId w:val="7"/>
        </w:numPr>
        <w:rPr>
          <w:lang w:val="en-GB"/>
        </w:rPr>
      </w:pPr>
      <w:r w:rsidRPr="009E6A3A">
        <w:rPr>
          <w:lang w:val="en-GB"/>
        </w:rPr>
        <w:t>spotlighting screens to zoom in on detail or</w:t>
      </w:r>
      <w:r w:rsidR="001C1A12">
        <w:rPr>
          <w:lang w:val="en-GB"/>
        </w:rPr>
        <w:t xml:space="preserve"> on</w:t>
      </w:r>
      <w:r w:rsidRPr="009E6A3A">
        <w:rPr>
          <w:lang w:val="en-GB"/>
        </w:rPr>
        <w:t xml:space="preserve"> </w:t>
      </w:r>
      <w:proofErr w:type="spellStart"/>
      <w:r w:rsidRPr="009E6A3A">
        <w:rPr>
          <w:lang w:val="en-GB"/>
        </w:rPr>
        <w:t>makaton</w:t>
      </w:r>
      <w:proofErr w:type="spellEnd"/>
      <w:r w:rsidRPr="009E6A3A">
        <w:rPr>
          <w:lang w:val="en-GB"/>
        </w:rPr>
        <w:t xml:space="preserve"> signing</w:t>
      </w:r>
    </w:p>
    <w:p w14:paraId="4DCD0E2A" w14:textId="00974AA9" w:rsidR="00D23B40" w:rsidRPr="009E6A3A" w:rsidRDefault="006A615E" w:rsidP="00F64945">
      <w:pPr>
        <w:pStyle w:val="ListParagraph"/>
        <w:numPr>
          <w:ilvl w:val="0"/>
          <w:numId w:val="7"/>
        </w:numPr>
        <w:rPr>
          <w:lang w:val="en-GB"/>
        </w:rPr>
      </w:pPr>
      <w:r w:rsidRPr="009E6A3A">
        <w:rPr>
          <w:lang w:val="en-GB"/>
        </w:rPr>
        <w:t>explaining built</w:t>
      </w:r>
      <w:r w:rsidR="00B371B1" w:rsidRPr="009E6A3A">
        <w:rPr>
          <w:lang w:val="en-GB"/>
        </w:rPr>
        <w:t>-</w:t>
      </w:r>
      <w:r w:rsidRPr="009E6A3A">
        <w:rPr>
          <w:lang w:val="en-GB"/>
        </w:rPr>
        <w:t xml:space="preserve">in accessibility features such as closed captioning. </w:t>
      </w:r>
    </w:p>
    <w:p w14:paraId="4EA53D7E" w14:textId="5D45F5F5" w:rsidR="00D23B40" w:rsidRPr="009E6A3A" w:rsidRDefault="00D23B40" w:rsidP="00F64945">
      <w:pPr>
        <w:rPr>
          <w:lang w:val="en-GB"/>
        </w:rPr>
      </w:pPr>
    </w:p>
    <w:p w14:paraId="5FF9B090" w14:textId="7C8BF715" w:rsidR="00526852" w:rsidRPr="009E6A3A" w:rsidRDefault="00526852" w:rsidP="00F64945">
      <w:pPr>
        <w:rPr>
          <w:lang w:val="en-GB"/>
        </w:rPr>
      </w:pPr>
      <w:r w:rsidRPr="009E6A3A">
        <w:rPr>
          <w:lang w:val="en-GB"/>
        </w:rPr>
        <w:t xml:space="preserve">For further ideas on how to ensure that online music delivery is accessible to all, see </w:t>
      </w:r>
      <w:hyperlink r:id="rId12" w:history="1">
        <w:r w:rsidRPr="009E6A3A">
          <w:rPr>
            <w:rStyle w:val="Hyperlink"/>
            <w:lang w:val="en-GB"/>
          </w:rPr>
          <w:t>Drake Music’s resource</w:t>
        </w:r>
      </w:hyperlink>
      <w:r w:rsidRPr="009E6A3A">
        <w:rPr>
          <w:lang w:val="en-GB"/>
        </w:rPr>
        <w:t>.</w:t>
      </w:r>
    </w:p>
    <w:p w14:paraId="62B2E175" w14:textId="77777777" w:rsidR="00B878F0" w:rsidRDefault="00B878F0" w:rsidP="00F64945">
      <w:pPr>
        <w:rPr>
          <w:sz w:val="32"/>
          <w:szCs w:val="32"/>
          <w:lang w:val="en-GB"/>
        </w:rPr>
      </w:pPr>
      <w:bookmarkStart w:id="65" w:name="_tzefl5axess7" w:colFirst="0" w:colLast="0"/>
      <w:bookmarkEnd w:id="65"/>
      <w:r>
        <w:rPr>
          <w:lang w:val="en-GB"/>
        </w:rPr>
        <w:br w:type="page"/>
      </w:r>
    </w:p>
    <w:p w14:paraId="3434FB9E" w14:textId="25786E19" w:rsidR="00D23B40" w:rsidRPr="00300557" w:rsidRDefault="006A615E" w:rsidP="00F64945">
      <w:pPr>
        <w:pStyle w:val="Heading2"/>
        <w:rPr>
          <w:lang w:val="en-GB"/>
        </w:rPr>
      </w:pPr>
      <w:bookmarkStart w:id="66" w:name="_Toc70436324"/>
      <w:bookmarkStart w:id="67" w:name="_Toc72855482"/>
      <w:r w:rsidRPr="00300557">
        <w:rPr>
          <w:lang w:val="en-GB"/>
        </w:rPr>
        <w:lastRenderedPageBreak/>
        <w:t>Environment</w:t>
      </w:r>
      <w:bookmarkEnd w:id="66"/>
      <w:bookmarkEnd w:id="67"/>
    </w:p>
    <w:p w14:paraId="40B7F194" w14:textId="2310364E" w:rsidR="00D23B40" w:rsidRPr="00662087" w:rsidRDefault="006A615E" w:rsidP="004C4CA7">
      <w:pPr>
        <w:pStyle w:val="Heading3"/>
      </w:pPr>
      <w:bookmarkStart w:id="68" w:name="_Toc70436325"/>
      <w:r w:rsidRPr="00662087">
        <w:t>E1 There is a suitable ratio of young people to music leaders (and other project staff where required).</w:t>
      </w:r>
      <w:bookmarkEnd w:id="68"/>
      <w:r w:rsidRPr="00662087">
        <w:t xml:space="preserve"> </w:t>
      </w:r>
    </w:p>
    <w:p w14:paraId="6BBB88EA" w14:textId="798D9C08" w:rsidR="00D23B40" w:rsidRPr="00300557" w:rsidRDefault="00D23B40" w:rsidP="00F64945">
      <w:pPr>
        <w:rPr>
          <w:lang w:val="en-GB"/>
        </w:rPr>
      </w:pPr>
    </w:p>
    <w:p w14:paraId="1C8F22C8" w14:textId="0B1CEB8B" w:rsidR="00D23B40" w:rsidRPr="00300557" w:rsidRDefault="00526852" w:rsidP="00F64945">
      <w:pPr>
        <w:rPr>
          <w:lang w:val="en-GB"/>
        </w:rPr>
      </w:pPr>
      <w:r w:rsidRPr="002740D5">
        <w:rPr>
          <w:lang w:val="en-GB"/>
        </w:rPr>
        <w:t xml:space="preserve">Organisations and music leaders </w:t>
      </w:r>
      <w:r w:rsidR="006A615E" w:rsidRPr="002740D5">
        <w:rPr>
          <w:lang w:val="en-GB"/>
        </w:rPr>
        <w:t>should be mindful that participant group size may vary when working online</w:t>
      </w:r>
      <w:r w:rsidR="006A615E" w:rsidRPr="00300557">
        <w:rPr>
          <w:lang w:val="en-GB"/>
        </w:rPr>
        <w:t>.</w:t>
      </w:r>
    </w:p>
    <w:p w14:paraId="6A4941C9" w14:textId="77777777" w:rsidR="00772452" w:rsidRDefault="00772452" w:rsidP="00F64945">
      <w:pPr>
        <w:rPr>
          <w:lang w:val="en-GB"/>
        </w:rPr>
      </w:pPr>
    </w:p>
    <w:tbl>
      <w:tblPr>
        <w:tblStyle w:val="TableGrid"/>
        <w:tblW w:w="0" w:type="auto"/>
        <w:tblLook w:val="04A0" w:firstRow="1" w:lastRow="0" w:firstColumn="1" w:lastColumn="0" w:noHBand="0" w:noVBand="1"/>
      </w:tblPr>
      <w:tblGrid>
        <w:gridCol w:w="10790"/>
      </w:tblGrid>
      <w:tr w:rsidR="00EA01A6" w14:paraId="3231CF31" w14:textId="77777777" w:rsidTr="00EA01A6">
        <w:tc>
          <w:tcPr>
            <w:tcW w:w="10790" w:type="dxa"/>
          </w:tcPr>
          <w:p w14:paraId="3E8FEADC" w14:textId="31708F5B" w:rsidR="00EA01A6" w:rsidRPr="00EA01A6" w:rsidRDefault="00EA01A6" w:rsidP="00F64945">
            <w:r w:rsidRPr="00EA01A6">
              <w:t xml:space="preserve">Example: A </w:t>
            </w:r>
            <w:proofErr w:type="spellStart"/>
            <w:r w:rsidRPr="00EA01A6">
              <w:t>songwriting</w:t>
            </w:r>
            <w:proofErr w:type="spellEnd"/>
            <w:r w:rsidRPr="00EA01A6">
              <w:t xml:space="preserve"> project involving 25 participants when delivered in person could not maintain the same quality of engagement online because of the issues around communicating in large groups. Instead, the music leaders found that working in breakout rooms with a ratio of no more than 1:4 allowed room for each young person’s voice to be heard. </w:t>
            </w:r>
          </w:p>
        </w:tc>
      </w:tr>
    </w:tbl>
    <w:p w14:paraId="06EE58EF" w14:textId="2F143A24" w:rsidR="00D23B40" w:rsidRPr="00F56A2D" w:rsidRDefault="006A615E" w:rsidP="004C4CA7">
      <w:pPr>
        <w:pStyle w:val="Heading3"/>
      </w:pPr>
      <w:bookmarkStart w:id="69" w:name="_Toc70436326"/>
      <w:r w:rsidRPr="00F56A2D">
        <w:t>E2 Consideration has been given to the physical space, with available resources being best used to make it accessible and appropriate for the target group.</w:t>
      </w:r>
      <w:bookmarkEnd w:id="69"/>
      <w:r w:rsidRPr="00F56A2D">
        <w:t xml:space="preserve">  </w:t>
      </w:r>
    </w:p>
    <w:p w14:paraId="00D679C2" w14:textId="77777777" w:rsidR="00D23B40" w:rsidRPr="00300557" w:rsidRDefault="00D23B40" w:rsidP="00F64945">
      <w:pPr>
        <w:rPr>
          <w:lang w:val="en-GB"/>
        </w:rPr>
      </w:pPr>
    </w:p>
    <w:p w14:paraId="3F09AC0B" w14:textId="11D68FFF" w:rsidR="00D23B40" w:rsidRPr="0074085F" w:rsidRDefault="00953CC9" w:rsidP="00F64945">
      <w:pPr>
        <w:rPr>
          <w:lang w:val="en-GB"/>
        </w:rPr>
      </w:pPr>
      <w:r w:rsidRPr="0074085F">
        <w:rPr>
          <w:bCs/>
          <w:lang w:val="en-GB"/>
        </w:rPr>
        <w:t>Organisations</w:t>
      </w:r>
      <w:r w:rsidRPr="0074085F">
        <w:rPr>
          <w:lang w:val="en-GB"/>
        </w:rPr>
        <w:t xml:space="preserve"> should offer parents, carers and participants </w:t>
      </w:r>
      <w:r w:rsidR="006A615E" w:rsidRPr="0074085F">
        <w:rPr>
          <w:lang w:val="en-GB"/>
        </w:rPr>
        <w:t>clear advice</w:t>
      </w:r>
      <w:r w:rsidRPr="0074085F">
        <w:rPr>
          <w:lang w:val="en-GB"/>
        </w:rPr>
        <w:t xml:space="preserve"> in advance</w:t>
      </w:r>
      <w:r w:rsidR="006A615E" w:rsidRPr="0074085F">
        <w:rPr>
          <w:lang w:val="en-GB"/>
        </w:rPr>
        <w:t xml:space="preserve"> </w:t>
      </w:r>
      <w:r w:rsidRPr="0074085F">
        <w:rPr>
          <w:lang w:val="en-GB"/>
        </w:rPr>
        <w:t>on the physical space that is used to take part in</w:t>
      </w:r>
      <w:r w:rsidR="0074085F">
        <w:rPr>
          <w:lang w:val="en-GB"/>
        </w:rPr>
        <w:t xml:space="preserve"> online</w:t>
      </w:r>
      <w:r w:rsidRPr="0074085F">
        <w:rPr>
          <w:lang w:val="en-GB"/>
        </w:rPr>
        <w:t xml:space="preserve"> sessions. Ensuring that this space is safe can also form </w:t>
      </w:r>
      <w:r w:rsidR="006A615E" w:rsidRPr="0074085F">
        <w:rPr>
          <w:lang w:val="en-GB"/>
        </w:rPr>
        <w:t xml:space="preserve">part of a group activity at </w:t>
      </w:r>
      <w:r w:rsidRPr="0074085F">
        <w:rPr>
          <w:lang w:val="en-GB"/>
        </w:rPr>
        <w:t xml:space="preserve">the </w:t>
      </w:r>
      <w:r w:rsidR="006A615E" w:rsidRPr="0074085F">
        <w:rPr>
          <w:lang w:val="en-GB"/>
        </w:rPr>
        <w:t>start of a session</w:t>
      </w:r>
      <w:r w:rsidRPr="0074085F">
        <w:rPr>
          <w:lang w:val="en-GB"/>
        </w:rPr>
        <w:t xml:space="preserve">, for example using part </w:t>
      </w:r>
      <w:r w:rsidR="006A615E" w:rsidRPr="0074085F">
        <w:rPr>
          <w:lang w:val="en-GB"/>
        </w:rPr>
        <w:t xml:space="preserve">of </w:t>
      </w:r>
      <w:r w:rsidRPr="0074085F">
        <w:rPr>
          <w:lang w:val="en-GB"/>
        </w:rPr>
        <w:t xml:space="preserve">the </w:t>
      </w:r>
      <w:r w:rsidR="006A615E" w:rsidRPr="0074085F">
        <w:rPr>
          <w:lang w:val="en-GB"/>
        </w:rPr>
        <w:t xml:space="preserve">warm up </w:t>
      </w:r>
      <w:r w:rsidRPr="0074085F">
        <w:rPr>
          <w:lang w:val="en-GB"/>
        </w:rPr>
        <w:t xml:space="preserve">to </w:t>
      </w:r>
      <w:r w:rsidR="006A615E" w:rsidRPr="0074085F">
        <w:rPr>
          <w:lang w:val="en-GB"/>
        </w:rPr>
        <w:t xml:space="preserve">tidy up </w:t>
      </w:r>
      <w:r w:rsidRPr="0074085F">
        <w:rPr>
          <w:lang w:val="en-GB"/>
        </w:rPr>
        <w:t xml:space="preserve">the </w:t>
      </w:r>
      <w:r w:rsidR="006A615E" w:rsidRPr="0074085F">
        <w:rPr>
          <w:lang w:val="en-GB"/>
        </w:rPr>
        <w:t>space around us</w:t>
      </w:r>
      <w:r w:rsidRPr="0074085F">
        <w:rPr>
          <w:lang w:val="en-GB"/>
        </w:rPr>
        <w:t>.</w:t>
      </w:r>
    </w:p>
    <w:p w14:paraId="2CE6CAC4" w14:textId="77777777" w:rsidR="00953CC9" w:rsidRPr="0074085F" w:rsidRDefault="00953CC9" w:rsidP="00F64945">
      <w:pPr>
        <w:rPr>
          <w:lang w:val="en-GB"/>
        </w:rPr>
      </w:pPr>
    </w:p>
    <w:p w14:paraId="0ACE35AD" w14:textId="13D813D8" w:rsidR="00D23B40" w:rsidRDefault="001D3540" w:rsidP="00F64945">
      <w:pPr>
        <w:rPr>
          <w:lang w:val="en-GB"/>
        </w:rPr>
      </w:pPr>
      <w:r w:rsidRPr="0074085F">
        <w:rPr>
          <w:lang w:val="en-GB"/>
        </w:rPr>
        <w:t xml:space="preserve">Consideration of </w:t>
      </w:r>
      <w:r w:rsidR="006A615E" w:rsidRPr="0074085F">
        <w:rPr>
          <w:lang w:val="en-GB"/>
        </w:rPr>
        <w:t xml:space="preserve">the virtual environment </w:t>
      </w:r>
      <w:r w:rsidRPr="0074085F">
        <w:rPr>
          <w:lang w:val="en-GB"/>
        </w:rPr>
        <w:t xml:space="preserve">should </w:t>
      </w:r>
      <w:r w:rsidR="006A615E" w:rsidRPr="0074085F">
        <w:rPr>
          <w:lang w:val="en-GB"/>
        </w:rPr>
        <w:t>be considered here too</w:t>
      </w:r>
      <w:r w:rsidRPr="0074085F">
        <w:rPr>
          <w:lang w:val="en-GB"/>
        </w:rPr>
        <w:t>, for example using</w:t>
      </w:r>
      <w:r w:rsidR="008E7C05" w:rsidRPr="0074085F">
        <w:rPr>
          <w:lang w:val="en-GB"/>
        </w:rPr>
        <w:t xml:space="preserve"> </w:t>
      </w:r>
      <w:r w:rsidR="006A615E" w:rsidRPr="0074085F">
        <w:rPr>
          <w:lang w:val="en-GB"/>
        </w:rPr>
        <w:t>background music so</w:t>
      </w:r>
      <w:r w:rsidR="00B90015" w:rsidRPr="0074085F">
        <w:rPr>
          <w:lang w:val="en-GB"/>
        </w:rPr>
        <w:t xml:space="preserve"> that</w:t>
      </w:r>
      <w:r w:rsidR="006A615E" w:rsidRPr="0074085F">
        <w:rPr>
          <w:lang w:val="en-GB"/>
        </w:rPr>
        <w:t xml:space="preserve"> participants enter a relaxing environment rather than awkward silence.</w:t>
      </w:r>
      <w:r w:rsidR="004603F3" w:rsidRPr="0074085F">
        <w:rPr>
          <w:lang w:val="en-GB"/>
        </w:rPr>
        <w:t xml:space="preserve"> Music </w:t>
      </w:r>
      <w:r w:rsidR="00710936" w:rsidRPr="0074085F">
        <w:rPr>
          <w:lang w:val="en-GB"/>
        </w:rPr>
        <w:t>l</w:t>
      </w:r>
      <w:r w:rsidR="006A615E" w:rsidRPr="0074085F">
        <w:rPr>
          <w:lang w:val="en-GB"/>
        </w:rPr>
        <w:t xml:space="preserve">eader backgrounds </w:t>
      </w:r>
      <w:r w:rsidR="004603F3" w:rsidRPr="0074085F">
        <w:rPr>
          <w:lang w:val="en-GB"/>
        </w:rPr>
        <w:t xml:space="preserve">can also </w:t>
      </w:r>
      <w:r w:rsidR="006A615E" w:rsidRPr="0074085F">
        <w:rPr>
          <w:lang w:val="en-GB"/>
        </w:rPr>
        <w:t>be dressed</w:t>
      </w:r>
      <w:r w:rsidR="00197EEF" w:rsidRPr="0074085F">
        <w:rPr>
          <w:lang w:val="en-GB"/>
        </w:rPr>
        <w:t>,</w:t>
      </w:r>
      <w:r w:rsidR="006A615E" w:rsidRPr="0074085F">
        <w:rPr>
          <w:lang w:val="en-GB"/>
        </w:rPr>
        <w:t xml:space="preserve"> or virtual backgrounds used to transport the space</w:t>
      </w:r>
      <w:r w:rsidR="00CE4B79" w:rsidRPr="0074085F">
        <w:rPr>
          <w:lang w:val="en-GB"/>
        </w:rPr>
        <w:t>. Ensuring that everyone selects an appropriate background should also be considered in safeguarding policies.</w:t>
      </w:r>
      <w:r w:rsidR="006A615E" w:rsidRPr="0074085F">
        <w:rPr>
          <w:lang w:val="en-GB"/>
        </w:rPr>
        <w:t xml:space="preserve"> </w:t>
      </w:r>
    </w:p>
    <w:p w14:paraId="637E0621" w14:textId="74BE16D2" w:rsidR="00E32B41" w:rsidRDefault="00E32B41" w:rsidP="00F64945">
      <w:pPr>
        <w:rPr>
          <w:lang w:val="en-GB"/>
        </w:rPr>
      </w:pPr>
    </w:p>
    <w:p w14:paraId="3B7E79A4" w14:textId="773CE243" w:rsidR="00E32B41" w:rsidRPr="0074085F" w:rsidRDefault="00E32B41" w:rsidP="00F64945">
      <w:pPr>
        <w:rPr>
          <w:lang w:val="en-GB"/>
        </w:rPr>
      </w:pPr>
      <w:r>
        <w:rPr>
          <w:lang w:val="en-GB"/>
        </w:rPr>
        <w:t xml:space="preserve">Youth Music </w:t>
      </w:r>
      <w:proofErr w:type="spellStart"/>
      <w:r>
        <w:rPr>
          <w:lang w:val="en-GB"/>
        </w:rPr>
        <w:t>grantholders</w:t>
      </w:r>
      <w:proofErr w:type="spellEnd"/>
      <w:r>
        <w:rPr>
          <w:lang w:val="en-GB"/>
        </w:rPr>
        <w:t xml:space="preserve"> can gain free access to </w:t>
      </w:r>
      <w:hyperlink r:id="rId13" w:history="1">
        <w:r w:rsidRPr="00E32B41">
          <w:rPr>
            <w:rStyle w:val="Hyperlink"/>
            <w:lang w:val="en-GB"/>
          </w:rPr>
          <w:t>Charanga’s VIP Studio Sessions</w:t>
        </w:r>
      </w:hyperlink>
      <w:r>
        <w:rPr>
          <w:lang w:val="en-GB"/>
        </w:rPr>
        <w:t>, an online learning and music production platform.</w:t>
      </w:r>
    </w:p>
    <w:p w14:paraId="03E58F6E" w14:textId="77777777" w:rsidR="00D23B40" w:rsidRPr="00B665BC" w:rsidRDefault="006A615E" w:rsidP="004C4CA7">
      <w:pPr>
        <w:pStyle w:val="Heading3"/>
      </w:pPr>
      <w:bookmarkStart w:id="70" w:name="_Toc70436327"/>
      <w:r w:rsidRPr="00B665BC">
        <w:t>E3 There are sufficient materials and equipment to support the activities.</w:t>
      </w:r>
      <w:bookmarkEnd w:id="70"/>
    </w:p>
    <w:p w14:paraId="18BC3313" w14:textId="77777777" w:rsidR="00D23B40" w:rsidRPr="00300557" w:rsidRDefault="00D23B40" w:rsidP="00F64945">
      <w:pPr>
        <w:rPr>
          <w:lang w:val="en-GB"/>
        </w:rPr>
      </w:pPr>
    </w:p>
    <w:p w14:paraId="39A365D2" w14:textId="56A7324F" w:rsidR="00F8119C" w:rsidRDefault="006A615E" w:rsidP="00F64945">
      <w:pPr>
        <w:rPr>
          <w:lang w:val="en-GB"/>
        </w:rPr>
      </w:pPr>
      <w:r w:rsidRPr="00F8119C">
        <w:rPr>
          <w:lang w:val="en-GB"/>
        </w:rPr>
        <w:t>Though</w:t>
      </w:r>
      <w:r w:rsidR="00E56173">
        <w:rPr>
          <w:lang w:val="en-GB"/>
        </w:rPr>
        <w:t xml:space="preserve"> online</w:t>
      </w:r>
      <w:r w:rsidRPr="00F8119C">
        <w:rPr>
          <w:lang w:val="en-GB"/>
        </w:rPr>
        <w:t xml:space="preserve"> sessions may not require a full room set up, </w:t>
      </w:r>
      <w:r w:rsidR="001C23E4" w:rsidRPr="00F8119C">
        <w:rPr>
          <w:lang w:val="en-GB"/>
        </w:rPr>
        <w:t xml:space="preserve">music leaders </w:t>
      </w:r>
      <w:r w:rsidRPr="00F8119C">
        <w:rPr>
          <w:lang w:val="en-GB"/>
        </w:rPr>
        <w:t>should include sufficient set up time before every session.</w:t>
      </w:r>
      <w:r w:rsidR="00F8119C">
        <w:rPr>
          <w:lang w:val="en-GB"/>
        </w:rPr>
        <w:t xml:space="preserve">  </w:t>
      </w:r>
      <w:r w:rsidR="00F8119C" w:rsidRPr="00F8119C">
        <w:rPr>
          <w:lang w:val="en-GB"/>
        </w:rPr>
        <w:t xml:space="preserve">If budget allows you may need to deliver or post equipment directly to participants. </w:t>
      </w:r>
    </w:p>
    <w:p w14:paraId="6741D84A" w14:textId="641375AF" w:rsidR="00F44C7F" w:rsidRDefault="00F44C7F" w:rsidP="00F64945">
      <w:pPr>
        <w:rPr>
          <w:lang w:val="en-GB"/>
        </w:rPr>
      </w:pPr>
    </w:p>
    <w:tbl>
      <w:tblPr>
        <w:tblStyle w:val="TableGrid"/>
        <w:tblW w:w="0" w:type="auto"/>
        <w:tblLook w:val="04A0" w:firstRow="1" w:lastRow="0" w:firstColumn="1" w:lastColumn="0" w:noHBand="0" w:noVBand="1"/>
      </w:tblPr>
      <w:tblGrid>
        <w:gridCol w:w="10790"/>
      </w:tblGrid>
      <w:tr w:rsidR="00EA01A6" w14:paraId="57A2C256" w14:textId="77777777" w:rsidTr="00EA01A6">
        <w:tc>
          <w:tcPr>
            <w:tcW w:w="10790" w:type="dxa"/>
          </w:tcPr>
          <w:p w14:paraId="31A151F6" w14:textId="77777777" w:rsidR="00EA01A6" w:rsidRPr="00EA01A6" w:rsidRDefault="00EA01A6" w:rsidP="00F64945">
            <w:r w:rsidRPr="00EA01A6">
              <w:t>Example: Tech sessions are held prior to delivery, including checks that everyone can:</w:t>
            </w:r>
          </w:p>
          <w:p w14:paraId="14D21A3E" w14:textId="77777777" w:rsidR="00EA01A6" w:rsidRPr="00F64945" w:rsidRDefault="00EA01A6" w:rsidP="00F64945">
            <w:pPr>
              <w:pStyle w:val="ListParagraph"/>
              <w:numPr>
                <w:ilvl w:val="0"/>
                <w:numId w:val="8"/>
              </w:numPr>
            </w:pPr>
            <w:r w:rsidRPr="00F64945">
              <w:t>access the session from the link provided</w:t>
            </w:r>
          </w:p>
          <w:p w14:paraId="5B458820" w14:textId="77777777" w:rsidR="00EA01A6" w:rsidRPr="00F64945" w:rsidRDefault="00EA01A6" w:rsidP="00F64945">
            <w:pPr>
              <w:pStyle w:val="ListParagraph"/>
              <w:numPr>
                <w:ilvl w:val="0"/>
                <w:numId w:val="8"/>
              </w:numPr>
            </w:pPr>
            <w:r w:rsidRPr="00F64945">
              <w:t xml:space="preserve">turn on/off mute and cameras </w:t>
            </w:r>
          </w:p>
          <w:p w14:paraId="15841808" w14:textId="77777777" w:rsidR="00EA01A6" w:rsidRPr="00F64945" w:rsidRDefault="00EA01A6" w:rsidP="00F64945">
            <w:pPr>
              <w:pStyle w:val="ListParagraph"/>
              <w:numPr>
                <w:ilvl w:val="0"/>
                <w:numId w:val="8"/>
              </w:numPr>
            </w:pPr>
            <w:r w:rsidRPr="00F64945">
              <w:t xml:space="preserve">change their names. </w:t>
            </w:r>
          </w:p>
          <w:p w14:paraId="079AADAC" w14:textId="77777777" w:rsidR="00EA01A6" w:rsidRPr="00EA01A6" w:rsidRDefault="00EA01A6" w:rsidP="00F64945">
            <w:r w:rsidRPr="00EA01A6">
              <w:t xml:space="preserve">They also allow music leaders to test functionality, such as: </w:t>
            </w:r>
          </w:p>
          <w:p w14:paraId="54054CE4" w14:textId="77777777" w:rsidR="00EA01A6" w:rsidRPr="00F64945" w:rsidRDefault="00EA01A6" w:rsidP="00F64945">
            <w:pPr>
              <w:pStyle w:val="ListParagraph"/>
              <w:numPr>
                <w:ilvl w:val="0"/>
                <w:numId w:val="9"/>
              </w:numPr>
            </w:pPr>
            <w:r w:rsidRPr="00F64945">
              <w:t>audio sharing</w:t>
            </w:r>
          </w:p>
          <w:p w14:paraId="6A63A383" w14:textId="77777777" w:rsidR="00EA01A6" w:rsidRPr="00F64945" w:rsidRDefault="00EA01A6" w:rsidP="00F64945">
            <w:pPr>
              <w:pStyle w:val="ListParagraph"/>
              <w:numPr>
                <w:ilvl w:val="0"/>
                <w:numId w:val="9"/>
              </w:numPr>
            </w:pPr>
            <w:r w:rsidRPr="00F64945">
              <w:t>video sharing</w:t>
            </w:r>
          </w:p>
          <w:p w14:paraId="0B84CCE2" w14:textId="77777777" w:rsidR="00EA01A6" w:rsidRPr="00F64945" w:rsidRDefault="00EA01A6" w:rsidP="00F64945">
            <w:pPr>
              <w:pStyle w:val="ListParagraph"/>
              <w:numPr>
                <w:ilvl w:val="0"/>
                <w:numId w:val="9"/>
              </w:numPr>
            </w:pPr>
            <w:r w:rsidRPr="00F64945">
              <w:t>remote control between computers</w:t>
            </w:r>
          </w:p>
          <w:p w14:paraId="00B4A9FC" w14:textId="77777777" w:rsidR="00EA01A6" w:rsidRPr="00F64945" w:rsidRDefault="00EA01A6" w:rsidP="00F64945">
            <w:pPr>
              <w:pStyle w:val="ListParagraph"/>
              <w:numPr>
                <w:ilvl w:val="0"/>
                <w:numId w:val="9"/>
              </w:numPr>
            </w:pPr>
            <w:r w:rsidRPr="00F64945">
              <w:t xml:space="preserve">linking to online programmes </w:t>
            </w:r>
          </w:p>
          <w:p w14:paraId="2DE9DEA6" w14:textId="77777777" w:rsidR="00EA01A6" w:rsidRPr="00F64945" w:rsidRDefault="00EA01A6" w:rsidP="00F64945">
            <w:pPr>
              <w:pStyle w:val="ListParagraph"/>
              <w:numPr>
                <w:ilvl w:val="0"/>
                <w:numId w:val="9"/>
              </w:numPr>
            </w:pPr>
            <w:r w:rsidRPr="00F64945">
              <w:t>screen sharing safely</w:t>
            </w:r>
          </w:p>
          <w:p w14:paraId="40C16DEC" w14:textId="361C1C1C" w:rsidR="00EA01A6" w:rsidRPr="00F64945" w:rsidRDefault="00EA01A6" w:rsidP="00F64945">
            <w:pPr>
              <w:pStyle w:val="ListParagraph"/>
              <w:numPr>
                <w:ilvl w:val="0"/>
                <w:numId w:val="9"/>
              </w:numPr>
            </w:pPr>
            <w:r w:rsidRPr="00F64945">
              <w:t>use of breakout rooms, etc.</w:t>
            </w:r>
          </w:p>
        </w:tc>
      </w:tr>
    </w:tbl>
    <w:p w14:paraId="59969C81" w14:textId="01FEEA37" w:rsidR="00F44C7F" w:rsidRDefault="00F44C7F" w:rsidP="00F64945">
      <w:pPr>
        <w:rPr>
          <w:lang w:val="en-GB"/>
        </w:rPr>
      </w:pPr>
    </w:p>
    <w:p w14:paraId="7B6413DD" w14:textId="0E4C504B" w:rsidR="00E56173" w:rsidRPr="00E56173" w:rsidRDefault="00E56173" w:rsidP="00F64945">
      <w:pPr>
        <w:rPr>
          <w:lang w:val="en-GB"/>
        </w:rPr>
      </w:pPr>
      <w:r>
        <w:rPr>
          <w:lang w:val="en-GB"/>
        </w:rPr>
        <w:t xml:space="preserve">Organisations should also consider setting up a Digital Inclusion Log to keep track of participants who have dropped out of online sessions and follow up to support them to re-engage. </w:t>
      </w:r>
      <w:r w:rsidR="00883352">
        <w:rPr>
          <w:lang w:val="en-GB"/>
        </w:rPr>
        <w:t xml:space="preserve">For example, the </w:t>
      </w:r>
      <w:hyperlink r:id="rId14" w:history="1">
        <w:r w:rsidR="00883352" w:rsidRPr="0096020E">
          <w:rPr>
            <w:rStyle w:val="Hyperlink"/>
            <w:lang w:val="en-GB"/>
          </w:rPr>
          <w:t>Family Fund</w:t>
        </w:r>
      </w:hyperlink>
      <w:r w:rsidR="00883352">
        <w:rPr>
          <w:lang w:val="en-GB"/>
        </w:rPr>
        <w:t xml:space="preserve"> provide grants </w:t>
      </w:r>
      <w:r w:rsidR="0096020E">
        <w:rPr>
          <w:lang w:val="en-GB"/>
        </w:rPr>
        <w:t>to support Disabled children and young people to access equipment and devices.</w:t>
      </w:r>
    </w:p>
    <w:p w14:paraId="6C8CD30A" w14:textId="77777777" w:rsidR="00063035" w:rsidRPr="00300557" w:rsidRDefault="00063035" w:rsidP="00F64945">
      <w:pPr>
        <w:rPr>
          <w:lang w:val="en-GB"/>
        </w:rPr>
      </w:pPr>
    </w:p>
    <w:p w14:paraId="525C0779" w14:textId="77777777" w:rsidR="00D23B40" w:rsidRPr="00300557" w:rsidRDefault="00D23B40" w:rsidP="00F64945">
      <w:pPr>
        <w:rPr>
          <w:lang w:val="en-GB"/>
        </w:rPr>
      </w:pPr>
    </w:p>
    <w:sectPr w:rsidR="00D23B40" w:rsidRPr="00300557" w:rsidSect="00F1751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4A39" w14:textId="77777777" w:rsidR="00511CC7" w:rsidRDefault="00511CC7" w:rsidP="00F64945">
      <w:r>
        <w:separator/>
      </w:r>
    </w:p>
  </w:endnote>
  <w:endnote w:type="continuationSeparator" w:id="0">
    <w:p w14:paraId="53D45BB2" w14:textId="77777777" w:rsidR="00511CC7" w:rsidRDefault="00511CC7" w:rsidP="00F6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Montserrat SemiBold">
    <w:altName w:val="Calibri"/>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 w:name="Montserrat">
    <w:altName w:val="Calibri"/>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FCD6" w14:textId="77777777" w:rsidR="00B1643E" w:rsidRDefault="00B16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F1AA" w14:textId="77777777" w:rsidR="0080705F" w:rsidRDefault="0080705F" w:rsidP="00F64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F2E0" w14:textId="77777777" w:rsidR="00B1643E" w:rsidRDefault="00B1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AE8F" w14:textId="77777777" w:rsidR="00511CC7" w:rsidRDefault="00511CC7" w:rsidP="00F64945">
      <w:r>
        <w:separator/>
      </w:r>
    </w:p>
  </w:footnote>
  <w:footnote w:type="continuationSeparator" w:id="0">
    <w:p w14:paraId="2EEE3880" w14:textId="77777777" w:rsidR="00511CC7" w:rsidRDefault="00511CC7" w:rsidP="00F64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C9EC" w14:textId="77777777" w:rsidR="00B1643E" w:rsidRDefault="00B16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5443" w14:textId="77777777" w:rsidR="00B1643E" w:rsidRDefault="00B1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B6AD" w14:textId="77777777" w:rsidR="00B1643E" w:rsidRDefault="00B16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757"/>
    <w:multiLevelType w:val="hybridMultilevel"/>
    <w:tmpl w:val="1412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02ECA"/>
    <w:multiLevelType w:val="multilevel"/>
    <w:tmpl w:val="8E642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22C6F"/>
    <w:multiLevelType w:val="multilevel"/>
    <w:tmpl w:val="8EC0E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EE2750"/>
    <w:multiLevelType w:val="multilevel"/>
    <w:tmpl w:val="B2527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405A86"/>
    <w:multiLevelType w:val="hybridMultilevel"/>
    <w:tmpl w:val="14BE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E727B"/>
    <w:multiLevelType w:val="hybridMultilevel"/>
    <w:tmpl w:val="5A84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17453E"/>
    <w:multiLevelType w:val="multilevel"/>
    <w:tmpl w:val="1EB0C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5B4D5B"/>
    <w:multiLevelType w:val="hybridMultilevel"/>
    <w:tmpl w:val="BFEAE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F64959"/>
    <w:multiLevelType w:val="hybridMultilevel"/>
    <w:tmpl w:val="37A661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5F9659A3"/>
    <w:multiLevelType w:val="multilevel"/>
    <w:tmpl w:val="387A0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DA5018"/>
    <w:multiLevelType w:val="hybridMultilevel"/>
    <w:tmpl w:val="BB0C29B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6DA52273"/>
    <w:multiLevelType w:val="hybridMultilevel"/>
    <w:tmpl w:val="BBA6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454B9"/>
    <w:multiLevelType w:val="multilevel"/>
    <w:tmpl w:val="E68C0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033A2D"/>
    <w:multiLevelType w:val="hybridMultilevel"/>
    <w:tmpl w:val="FD4A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2"/>
  </w:num>
  <w:num w:numId="5">
    <w:abstractNumId w:val="1"/>
  </w:num>
  <w:num w:numId="6">
    <w:abstractNumId w:val="2"/>
  </w:num>
  <w:num w:numId="7">
    <w:abstractNumId w:val="0"/>
  </w:num>
  <w:num w:numId="8">
    <w:abstractNumId w:val="8"/>
  </w:num>
  <w:num w:numId="9">
    <w:abstractNumId w:val="11"/>
  </w:num>
  <w:num w:numId="10">
    <w:abstractNumId w:val="7"/>
  </w:num>
  <w:num w:numId="11">
    <w:abstractNumId w:val="4"/>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40"/>
    <w:rsid w:val="00005E4F"/>
    <w:rsid w:val="00014006"/>
    <w:rsid w:val="00020090"/>
    <w:rsid w:val="00040E8A"/>
    <w:rsid w:val="00041DAD"/>
    <w:rsid w:val="000422EC"/>
    <w:rsid w:val="00042C24"/>
    <w:rsid w:val="00043517"/>
    <w:rsid w:val="00046CE4"/>
    <w:rsid w:val="00055391"/>
    <w:rsid w:val="0006235E"/>
    <w:rsid w:val="00063035"/>
    <w:rsid w:val="00071C50"/>
    <w:rsid w:val="0007344E"/>
    <w:rsid w:val="000846EF"/>
    <w:rsid w:val="00093E70"/>
    <w:rsid w:val="000A4B58"/>
    <w:rsid w:val="000B777C"/>
    <w:rsid w:val="000C6389"/>
    <w:rsid w:val="000D002D"/>
    <w:rsid w:val="000D53BE"/>
    <w:rsid w:val="000E2CB7"/>
    <w:rsid w:val="000F0048"/>
    <w:rsid w:val="00101972"/>
    <w:rsid w:val="00101E3C"/>
    <w:rsid w:val="00105477"/>
    <w:rsid w:val="0010576D"/>
    <w:rsid w:val="00110DFB"/>
    <w:rsid w:val="0012139D"/>
    <w:rsid w:val="00121895"/>
    <w:rsid w:val="00122E6E"/>
    <w:rsid w:val="00123BEE"/>
    <w:rsid w:val="00134C04"/>
    <w:rsid w:val="00141498"/>
    <w:rsid w:val="0014211C"/>
    <w:rsid w:val="0014496E"/>
    <w:rsid w:val="001608C9"/>
    <w:rsid w:val="0016374C"/>
    <w:rsid w:val="001653CF"/>
    <w:rsid w:val="001679B1"/>
    <w:rsid w:val="00177648"/>
    <w:rsid w:val="0018043B"/>
    <w:rsid w:val="001817FA"/>
    <w:rsid w:val="00197EEF"/>
    <w:rsid w:val="00197EF2"/>
    <w:rsid w:val="001A2A3D"/>
    <w:rsid w:val="001B44AB"/>
    <w:rsid w:val="001B7782"/>
    <w:rsid w:val="001C1117"/>
    <w:rsid w:val="001C17ED"/>
    <w:rsid w:val="001C1A12"/>
    <w:rsid w:val="001C23E4"/>
    <w:rsid w:val="001C680A"/>
    <w:rsid w:val="001D2654"/>
    <w:rsid w:val="001D2952"/>
    <w:rsid w:val="001D3540"/>
    <w:rsid w:val="00201F12"/>
    <w:rsid w:val="002065C4"/>
    <w:rsid w:val="00207D25"/>
    <w:rsid w:val="00210652"/>
    <w:rsid w:val="002159BC"/>
    <w:rsid w:val="00217397"/>
    <w:rsid w:val="002316AC"/>
    <w:rsid w:val="00235A8D"/>
    <w:rsid w:val="0023761B"/>
    <w:rsid w:val="00243538"/>
    <w:rsid w:val="00252135"/>
    <w:rsid w:val="0026060C"/>
    <w:rsid w:val="00261091"/>
    <w:rsid w:val="0026671A"/>
    <w:rsid w:val="00272A4F"/>
    <w:rsid w:val="002740D5"/>
    <w:rsid w:val="00286C98"/>
    <w:rsid w:val="002A6E18"/>
    <w:rsid w:val="002B276C"/>
    <w:rsid w:val="002B4502"/>
    <w:rsid w:val="002B4B26"/>
    <w:rsid w:val="002B5840"/>
    <w:rsid w:val="002D7E44"/>
    <w:rsid w:val="002E4359"/>
    <w:rsid w:val="002E5598"/>
    <w:rsid w:val="00300557"/>
    <w:rsid w:val="00315DC1"/>
    <w:rsid w:val="00316C65"/>
    <w:rsid w:val="00324D09"/>
    <w:rsid w:val="00326F9B"/>
    <w:rsid w:val="00331C0A"/>
    <w:rsid w:val="00340202"/>
    <w:rsid w:val="00361BEC"/>
    <w:rsid w:val="00366957"/>
    <w:rsid w:val="00370DCB"/>
    <w:rsid w:val="003749BA"/>
    <w:rsid w:val="00375877"/>
    <w:rsid w:val="00376B8E"/>
    <w:rsid w:val="00381EC1"/>
    <w:rsid w:val="003849EE"/>
    <w:rsid w:val="00386472"/>
    <w:rsid w:val="003954B2"/>
    <w:rsid w:val="00397697"/>
    <w:rsid w:val="003A603B"/>
    <w:rsid w:val="003C4F3C"/>
    <w:rsid w:val="003E5849"/>
    <w:rsid w:val="003E6751"/>
    <w:rsid w:val="003F3803"/>
    <w:rsid w:val="00411351"/>
    <w:rsid w:val="00436954"/>
    <w:rsid w:val="00441631"/>
    <w:rsid w:val="004458C6"/>
    <w:rsid w:val="0045516A"/>
    <w:rsid w:val="004603F3"/>
    <w:rsid w:val="00460CD2"/>
    <w:rsid w:val="00461DBD"/>
    <w:rsid w:val="00472125"/>
    <w:rsid w:val="00472D22"/>
    <w:rsid w:val="0048422E"/>
    <w:rsid w:val="00484613"/>
    <w:rsid w:val="00486A7C"/>
    <w:rsid w:val="004A09F8"/>
    <w:rsid w:val="004B3B15"/>
    <w:rsid w:val="004B4945"/>
    <w:rsid w:val="004C071C"/>
    <w:rsid w:val="004C2356"/>
    <w:rsid w:val="004C4CA7"/>
    <w:rsid w:val="004C4E7A"/>
    <w:rsid w:val="004D3C52"/>
    <w:rsid w:val="004F0589"/>
    <w:rsid w:val="004F666C"/>
    <w:rsid w:val="00500C76"/>
    <w:rsid w:val="00502268"/>
    <w:rsid w:val="00502991"/>
    <w:rsid w:val="005038CB"/>
    <w:rsid w:val="0050673C"/>
    <w:rsid w:val="00506C86"/>
    <w:rsid w:val="00506EB6"/>
    <w:rsid w:val="00511CC7"/>
    <w:rsid w:val="00512D3C"/>
    <w:rsid w:val="00523B46"/>
    <w:rsid w:val="00525212"/>
    <w:rsid w:val="00526852"/>
    <w:rsid w:val="00527654"/>
    <w:rsid w:val="00536619"/>
    <w:rsid w:val="00545CD0"/>
    <w:rsid w:val="00547BDE"/>
    <w:rsid w:val="00555085"/>
    <w:rsid w:val="005552ED"/>
    <w:rsid w:val="00555F18"/>
    <w:rsid w:val="00570276"/>
    <w:rsid w:val="00570551"/>
    <w:rsid w:val="00577F72"/>
    <w:rsid w:val="0058168C"/>
    <w:rsid w:val="00583F48"/>
    <w:rsid w:val="00594A05"/>
    <w:rsid w:val="005A314E"/>
    <w:rsid w:val="005B0BD5"/>
    <w:rsid w:val="005C0162"/>
    <w:rsid w:val="005C706E"/>
    <w:rsid w:val="005D1CF0"/>
    <w:rsid w:val="005D58DC"/>
    <w:rsid w:val="005D71A2"/>
    <w:rsid w:val="005D79CB"/>
    <w:rsid w:val="005D7DD5"/>
    <w:rsid w:val="005E044E"/>
    <w:rsid w:val="005E29AD"/>
    <w:rsid w:val="005F3FF3"/>
    <w:rsid w:val="006020F3"/>
    <w:rsid w:val="0060494B"/>
    <w:rsid w:val="00604BCD"/>
    <w:rsid w:val="006053F0"/>
    <w:rsid w:val="00621901"/>
    <w:rsid w:val="00623433"/>
    <w:rsid w:val="00626505"/>
    <w:rsid w:val="00634931"/>
    <w:rsid w:val="0064007B"/>
    <w:rsid w:val="00662087"/>
    <w:rsid w:val="00664016"/>
    <w:rsid w:val="00664729"/>
    <w:rsid w:val="00671956"/>
    <w:rsid w:val="00682FCD"/>
    <w:rsid w:val="00684692"/>
    <w:rsid w:val="006A4936"/>
    <w:rsid w:val="006A5628"/>
    <w:rsid w:val="006A615E"/>
    <w:rsid w:val="006B5B4A"/>
    <w:rsid w:val="006B6AB7"/>
    <w:rsid w:val="006D1A66"/>
    <w:rsid w:val="006E1383"/>
    <w:rsid w:val="006F13AB"/>
    <w:rsid w:val="006F1621"/>
    <w:rsid w:val="006F7B86"/>
    <w:rsid w:val="00710936"/>
    <w:rsid w:val="007115AF"/>
    <w:rsid w:val="00715927"/>
    <w:rsid w:val="007228A1"/>
    <w:rsid w:val="00733F5C"/>
    <w:rsid w:val="0074085F"/>
    <w:rsid w:val="00740DA7"/>
    <w:rsid w:val="007519BE"/>
    <w:rsid w:val="007636FA"/>
    <w:rsid w:val="00767043"/>
    <w:rsid w:val="00767D2C"/>
    <w:rsid w:val="00772452"/>
    <w:rsid w:val="00776912"/>
    <w:rsid w:val="00780864"/>
    <w:rsid w:val="007974B8"/>
    <w:rsid w:val="007A613A"/>
    <w:rsid w:val="007A6334"/>
    <w:rsid w:val="007C6810"/>
    <w:rsid w:val="007C7D88"/>
    <w:rsid w:val="007D0E36"/>
    <w:rsid w:val="007D46FD"/>
    <w:rsid w:val="007E31B2"/>
    <w:rsid w:val="007E486E"/>
    <w:rsid w:val="007F6D02"/>
    <w:rsid w:val="0080705F"/>
    <w:rsid w:val="00827FE2"/>
    <w:rsid w:val="00842FEE"/>
    <w:rsid w:val="0084312D"/>
    <w:rsid w:val="00847E84"/>
    <w:rsid w:val="00853A26"/>
    <w:rsid w:val="00861667"/>
    <w:rsid w:val="00863D8F"/>
    <w:rsid w:val="00871A84"/>
    <w:rsid w:val="0088182D"/>
    <w:rsid w:val="00883352"/>
    <w:rsid w:val="008867D2"/>
    <w:rsid w:val="008942DE"/>
    <w:rsid w:val="008A06C9"/>
    <w:rsid w:val="008A1914"/>
    <w:rsid w:val="008A1EEB"/>
    <w:rsid w:val="008A457C"/>
    <w:rsid w:val="008B789B"/>
    <w:rsid w:val="008C2D4C"/>
    <w:rsid w:val="008C6D1E"/>
    <w:rsid w:val="008C77BC"/>
    <w:rsid w:val="008D684B"/>
    <w:rsid w:val="008E0AF5"/>
    <w:rsid w:val="008E11C8"/>
    <w:rsid w:val="008E3EAC"/>
    <w:rsid w:val="008E5907"/>
    <w:rsid w:val="008E7C05"/>
    <w:rsid w:val="00900979"/>
    <w:rsid w:val="0090394C"/>
    <w:rsid w:val="00907535"/>
    <w:rsid w:val="00910D7E"/>
    <w:rsid w:val="00912782"/>
    <w:rsid w:val="00914FA6"/>
    <w:rsid w:val="009172D5"/>
    <w:rsid w:val="00917CC2"/>
    <w:rsid w:val="00930A8F"/>
    <w:rsid w:val="00935BBB"/>
    <w:rsid w:val="00943319"/>
    <w:rsid w:val="00953CC9"/>
    <w:rsid w:val="0096020E"/>
    <w:rsid w:val="009702EA"/>
    <w:rsid w:val="00970558"/>
    <w:rsid w:val="00970991"/>
    <w:rsid w:val="009710E3"/>
    <w:rsid w:val="00971D48"/>
    <w:rsid w:val="00984E5D"/>
    <w:rsid w:val="009966DA"/>
    <w:rsid w:val="00996C47"/>
    <w:rsid w:val="009B0951"/>
    <w:rsid w:val="009B377F"/>
    <w:rsid w:val="009C5391"/>
    <w:rsid w:val="009D1034"/>
    <w:rsid w:val="009D4CA9"/>
    <w:rsid w:val="009E389D"/>
    <w:rsid w:val="009E6A3A"/>
    <w:rsid w:val="009E7CF4"/>
    <w:rsid w:val="009F1749"/>
    <w:rsid w:val="00A009B2"/>
    <w:rsid w:val="00A01AFA"/>
    <w:rsid w:val="00A11B22"/>
    <w:rsid w:val="00A12DD0"/>
    <w:rsid w:val="00A14033"/>
    <w:rsid w:val="00A24441"/>
    <w:rsid w:val="00A25560"/>
    <w:rsid w:val="00A25E2C"/>
    <w:rsid w:val="00A27617"/>
    <w:rsid w:val="00A3435B"/>
    <w:rsid w:val="00A41585"/>
    <w:rsid w:val="00A609E7"/>
    <w:rsid w:val="00A70459"/>
    <w:rsid w:val="00A81442"/>
    <w:rsid w:val="00A87473"/>
    <w:rsid w:val="00AA1097"/>
    <w:rsid w:val="00AA148C"/>
    <w:rsid w:val="00AA4149"/>
    <w:rsid w:val="00AB3C2D"/>
    <w:rsid w:val="00AB4435"/>
    <w:rsid w:val="00AB4BBE"/>
    <w:rsid w:val="00AC3FAA"/>
    <w:rsid w:val="00AC47E1"/>
    <w:rsid w:val="00AC586E"/>
    <w:rsid w:val="00AC5A31"/>
    <w:rsid w:val="00AD16CC"/>
    <w:rsid w:val="00AE1BD9"/>
    <w:rsid w:val="00AE57A7"/>
    <w:rsid w:val="00AF2221"/>
    <w:rsid w:val="00B00BCF"/>
    <w:rsid w:val="00B10D8C"/>
    <w:rsid w:val="00B1643E"/>
    <w:rsid w:val="00B225BA"/>
    <w:rsid w:val="00B32B13"/>
    <w:rsid w:val="00B34F8A"/>
    <w:rsid w:val="00B371B1"/>
    <w:rsid w:val="00B44638"/>
    <w:rsid w:val="00B44C55"/>
    <w:rsid w:val="00B54D4E"/>
    <w:rsid w:val="00B5651D"/>
    <w:rsid w:val="00B651D3"/>
    <w:rsid w:val="00B65718"/>
    <w:rsid w:val="00B665BC"/>
    <w:rsid w:val="00B724DF"/>
    <w:rsid w:val="00B82E7A"/>
    <w:rsid w:val="00B83C02"/>
    <w:rsid w:val="00B85DE9"/>
    <w:rsid w:val="00B878F0"/>
    <w:rsid w:val="00B90015"/>
    <w:rsid w:val="00B903A7"/>
    <w:rsid w:val="00B9286F"/>
    <w:rsid w:val="00B93F05"/>
    <w:rsid w:val="00B94375"/>
    <w:rsid w:val="00BA349C"/>
    <w:rsid w:val="00BB4385"/>
    <w:rsid w:val="00BB5C7C"/>
    <w:rsid w:val="00BE250C"/>
    <w:rsid w:val="00BE6776"/>
    <w:rsid w:val="00BF4E1C"/>
    <w:rsid w:val="00C04A5C"/>
    <w:rsid w:val="00C169B8"/>
    <w:rsid w:val="00C16ABF"/>
    <w:rsid w:val="00C24080"/>
    <w:rsid w:val="00C275AD"/>
    <w:rsid w:val="00C31953"/>
    <w:rsid w:val="00C414DF"/>
    <w:rsid w:val="00C42C18"/>
    <w:rsid w:val="00C5111A"/>
    <w:rsid w:val="00C579AC"/>
    <w:rsid w:val="00C9402B"/>
    <w:rsid w:val="00C95DFB"/>
    <w:rsid w:val="00CA1A4D"/>
    <w:rsid w:val="00CA2949"/>
    <w:rsid w:val="00CA5C97"/>
    <w:rsid w:val="00CC053E"/>
    <w:rsid w:val="00CD5ED5"/>
    <w:rsid w:val="00CE3DB1"/>
    <w:rsid w:val="00CE4B79"/>
    <w:rsid w:val="00CE7555"/>
    <w:rsid w:val="00CE77EC"/>
    <w:rsid w:val="00CF062F"/>
    <w:rsid w:val="00CF489C"/>
    <w:rsid w:val="00D06968"/>
    <w:rsid w:val="00D15ACF"/>
    <w:rsid w:val="00D21966"/>
    <w:rsid w:val="00D22DED"/>
    <w:rsid w:val="00D23B40"/>
    <w:rsid w:val="00D26E67"/>
    <w:rsid w:val="00D4405D"/>
    <w:rsid w:val="00D70442"/>
    <w:rsid w:val="00D75D77"/>
    <w:rsid w:val="00D92B05"/>
    <w:rsid w:val="00D938C8"/>
    <w:rsid w:val="00DA34CF"/>
    <w:rsid w:val="00DC4997"/>
    <w:rsid w:val="00DC587B"/>
    <w:rsid w:val="00DC60C7"/>
    <w:rsid w:val="00DD3008"/>
    <w:rsid w:val="00DD36A5"/>
    <w:rsid w:val="00DD7447"/>
    <w:rsid w:val="00DF1C66"/>
    <w:rsid w:val="00DF2506"/>
    <w:rsid w:val="00DF4AFD"/>
    <w:rsid w:val="00DF724D"/>
    <w:rsid w:val="00DF72C4"/>
    <w:rsid w:val="00E04335"/>
    <w:rsid w:val="00E10128"/>
    <w:rsid w:val="00E16C31"/>
    <w:rsid w:val="00E32B41"/>
    <w:rsid w:val="00E42F80"/>
    <w:rsid w:val="00E51146"/>
    <w:rsid w:val="00E53A66"/>
    <w:rsid w:val="00E56173"/>
    <w:rsid w:val="00E568C7"/>
    <w:rsid w:val="00E619DD"/>
    <w:rsid w:val="00E66FEA"/>
    <w:rsid w:val="00E7065A"/>
    <w:rsid w:val="00E75A26"/>
    <w:rsid w:val="00E76C57"/>
    <w:rsid w:val="00E76D1E"/>
    <w:rsid w:val="00E86370"/>
    <w:rsid w:val="00E97085"/>
    <w:rsid w:val="00EA01A6"/>
    <w:rsid w:val="00EA3376"/>
    <w:rsid w:val="00EA548A"/>
    <w:rsid w:val="00EA5E5E"/>
    <w:rsid w:val="00EA6F57"/>
    <w:rsid w:val="00EC2367"/>
    <w:rsid w:val="00EC5A56"/>
    <w:rsid w:val="00EC5BC5"/>
    <w:rsid w:val="00ED305C"/>
    <w:rsid w:val="00ED7C60"/>
    <w:rsid w:val="00EE6D0B"/>
    <w:rsid w:val="00EF404B"/>
    <w:rsid w:val="00EF49DD"/>
    <w:rsid w:val="00EF733E"/>
    <w:rsid w:val="00F01629"/>
    <w:rsid w:val="00F0426D"/>
    <w:rsid w:val="00F04707"/>
    <w:rsid w:val="00F071AA"/>
    <w:rsid w:val="00F17511"/>
    <w:rsid w:val="00F17ACD"/>
    <w:rsid w:val="00F17EAA"/>
    <w:rsid w:val="00F24BF1"/>
    <w:rsid w:val="00F25158"/>
    <w:rsid w:val="00F37D63"/>
    <w:rsid w:val="00F44C7F"/>
    <w:rsid w:val="00F56A2D"/>
    <w:rsid w:val="00F61FF6"/>
    <w:rsid w:val="00F62919"/>
    <w:rsid w:val="00F64945"/>
    <w:rsid w:val="00F65981"/>
    <w:rsid w:val="00F663B9"/>
    <w:rsid w:val="00F723F5"/>
    <w:rsid w:val="00F77FCA"/>
    <w:rsid w:val="00F8119C"/>
    <w:rsid w:val="00F90DBF"/>
    <w:rsid w:val="00FA0F19"/>
    <w:rsid w:val="00FB0E54"/>
    <w:rsid w:val="00FB1CE1"/>
    <w:rsid w:val="00FB327E"/>
    <w:rsid w:val="00FB7F3E"/>
    <w:rsid w:val="00FD3DCE"/>
    <w:rsid w:val="00FE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4EA24"/>
  <w15:docId w15:val="{BD4CD202-90A3-4E56-9695-2F5ABBFF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945"/>
    <w:rPr>
      <w:rFonts w:ascii="Open Sans" w:hAnsi="Open Sans" w:cs="Open Sans"/>
      <w:sz w:val="24"/>
      <w:szCs w:val="24"/>
    </w:rPr>
  </w:style>
  <w:style w:type="paragraph" w:styleId="Heading1">
    <w:name w:val="heading 1"/>
    <w:basedOn w:val="Normal"/>
    <w:next w:val="Normal"/>
    <w:uiPriority w:val="9"/>
    <w:qFormat/>
    <w:rsid w:val="00570276"/>
    <w:pPr>
      <w:keepNext/>
      <w:keepLines/>
      <w:spacing w:before="400" w:after="120"/>
      <w:outlineLvl w:val="0"/>
    </w:pPr>
    <w:rPr>
      <w:rFonts w:ascii="Montserrat SemiBold" w:hAnsi="Montserrat SemiBold"/>
      <w:b/>
      <w:bCs/>
      <w:sz w:val="40"/>
      <w:szCs w:val="40"/>
    </w:rPr>
  </w:style>
  <w:style w:type="paragraph" w:styleId="Heading2">
    <w:name w:val="heading 2"/>
    <w:basedOn w:val="Heading1"/>
    <w:next w:val="Normal"/>
    <w:uiPriority w:val="9"/>
    <w:unhideWhenUsed/>
    <w:qFormat/>
    <w:rsid w:val="00570276"/>
    <w:pPr>
      <w:outlineLvl w:val="1"/>
    </w:pPr>
    <w:rPr>
      <w:sz w:val="32"/>
      <w:szCs w:val="32"/>
    </w:rPr>
  </w:style>
  <w:style w:type="paragraph" w:styleId="Heading3">
    <w:name w:val="heading 3"/>
    <w:basedOn w:val="Normal"/>
    <w:next w:val="Normal"/>
    <w:uiPriority w:val="9"/>
    <w:unhideWhenUsed/>
    <w:qFormat/>
    <w:rsid w:val="004C4CA7"/>
    <w:pPr>
      <w:keepNext/>
      <w:keepLines/>
      <w:spacing w:before="320" w:after="80"/>
      <w:outlineLvl w:val="2"/>
    </w:pPr>
    <w:rPr>
      <w:color w:val="623BCB"/>
      <w:sz w:val="28"/>
      <w:szCs w:val="28"/>
      <w:lang w:val="en-GB"/>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A2A3D"/>
    <w:rPr>
      <w:color w:val="0000FF" w:themeColor="hyperlink"/>
      <w:u w:val="single"/>
    </w:rPr>
  </w:style>
  <w:style w:type="character" w:styleId="UnresolvedMention">
    <w:name w:val="Unresolved Mention"/>
    <w:basedOn w:val="DefaultParagraphFont"/>
    <w:uiPriority w:val="99"/>
    <w:semiHidden/>
    <w:unhideWhenUsed/>
    <w:rsid w:val="001A2A3D"/>
    <w:rPr>
      <w:color w:val="605E5C"/>
      <w:shd w:val="clear" w:color="auto" w:fill="E1DFDD"/>
    </w:rPr>
  </w:style>
  <w:style w:type="character" w:styleId="CommentReference">
    <w:name w:val="annotation reference"/>
    <w:basedOn w:val="DefaultParagraphFont"/>
    <w:uiPriority w:val="99"/>
    <w:semiHidden/>
    <w:unhideWhenUsed/>
    <w:rsid w:val="001A2A3D"/>
    <w:rPr>
      <w:sz w:val="16"/>
      <w:szCs w:val="16"/>
    </w:rPr>
  </w:style>
  <w:style w:type="paragraph" w:styleId="CommentText">
    <w:name w:val="annotation text"/>
    <w:basedOn w:val="Normal"/>
    <w:link w:val="CommentTextChar"/>
    <w:uiPriority w:val="99"/>
    <w:semiHidden/>
    <w:unhideWhenUsed/>
    <w:rsid w:val="001A2A3D"/>
    <w:pPr>
      <w:spacing w:line="240" w:lineRule="auto"/>
    </w:pPr>
    <w:rPr>
      <w:sz w:val="20"/>
      <w:szCs w:val="20"/>
    </w:rPr>
  </w:style>
  <w:style w:type="character" w:customStyle="1" w:styleId="CommentTextChar">
    <w:name w:val="Comment Text Char"/>
    <w:basedOn w:val="DefaultParagraphFont"/>
    <w:link w:val="CommentText"/>
    <w:uiPriority w:val="99"/>
    <w:semiHidden/>
    <w:rsid w:val="001A2A3D"/>
    <w:rPr>
      <w:sz w:val="20"/>
      <w:szCs w:val="20"/>
    </w:rPr>
  </w:style>
  <w:style w:type="paragraph" w:styleId="CommentSubject">
    <w:name w:val="annotation subject"/>
    <w:basedOn w:val="CommentText"/>
    <w:next w:val="CommentText"/>
    <w:link w:val="CommentSubjectChar"/>
    <w:uiPriority w:val="99"/>
    <w:semiHidden/>
    <w:unhideWhenUsed/>
    <w:rsid w:val="001A2A3D"/>
    <w:rPr>
      <w:b/>
      <w:bCs/>
    </w:rPr>
  </w:style>
  <w:style w:type="character" w:customStyle="1" w:styleId="CommentSubjectChar">
    <w:name w:val="Comment Subject Char"/>
    <w:basedOn w:val="CommentTextChar"/>
    <w:link w:val="CommentSubject"/>
    <w:uiPriority w:val="99"/>
    <w:semiHidden/>
    <w:rsid w:val="001A2A3D"/>
    <w:rPr>
      <w:b/>
      <w:bCs/>
      <w:sz w:val="20"/>
      <w:szCs w:val="20"/>
    </w:rPr>
  </w:style>
  <w:style w:type="character" w:styleId="FollowedHyperlink">
    <w:name w:val="FollowedHyperlink"/>
    <w:basedOn w:val="DefaultParagraphFont"/>
    <w:uiPriority w:val="99"/>
    <w:semiHidden/>
    <w:unhideWhenUsed/>
    <w:rsid w:val="00F17ACD"/>
    <w:rPr>
      <w:color w:val="800080" w:themeColor="followedHyperlink"/>
      <w:u w:val="single"/>
    </w:rPr>
  </w:style>
  <w:style w:type="paragraph" w:styleId="ListParagraph">
    <w:name w:val="List Paragraph"/>
    <w:basedOn w:val="Normal"/>
    <w:uiPriority w:val="34"/>
    <w:qFormat/>
    <w:rsid w:val="009E6A3A"/>
    <w:pPr>
      <w:ind w:left="720"/>
      <w:contextualSpacing/>
    </w:pPr>
  </w:style>
  <w:style w:type="paragraph" w:styleId="TOCHeading">
    <w:name w:val="TOC Heading"/>
    <w:basedOn w:val="Heading1"/>
    <w:next w:val="Normal"/>
    <w:uiPriority w:val="39"/>
    <w:unhideWhenUsed/>
    <w:qFormat/>
    <w:rsid w:val="00B878F0"/>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F64945"/>
    <w:pPr>
      <w:tabs>
        <w:tab w:val="right" w:leader="underscore" w:pos="10790"/>
      </w:tabs>
      <w:spacing w:before="360"/>
    </w:pPr>
    <w:rPr>
      <w:rFonts w:asciiTheme="majorHAnsi" w:hAnsiTheme="majorHAnsi"/>
      <w:b/>
      <w:bCs/>
      <w:caps/>
    </w:rPr>
  </w:style>
  <w:style w:type="paragraph" w:styleId="TOC2">
    <w:name w:val="toc 2"/>
    <w:basedOn w:val="Normal"/>
    <w:next w:val="Normal"/>
    <w:autoRedefine/>
    <w:uiPriority w:val="39"/>
    <w:unhideWhenUsed/>
    <w:rsid w:val="00B878F0"/>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B878F0"/>
    <w:pPr>
      <w:ind w:left="220"/>
    </w:pPr>
    <w:rPr>
      <w:rFonts w:asciiTheme="minorHAnsi" w:hAnsiTheme="minorHAnsi"/>
      <w:sz w:val="20"/>
      <w:szCs w:val="20"/>
    </w:rPr>
  </w:style>
  <w:style w:type="table" w:styleId="TableGrid">
    <w:name w:val="Table Grid"/>
    <w:basedOn w:val="TableNormal"/>
    <w:uiPriority w:val="59"/>
    <w:rsid w:val="00EA6F57"/>
    <w:pPr>
      <w:spacing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05F"/>
    <w:pPr>
      <w:tabs>
        <w:tab w:val="center" w:pos="4513"/>
        <w:tab w:val="right" w:pos="9026"/>
      </w:tabs>
      <w:spacing w:line="240" w:lineRule="auto"/>
    </w:pPr>
  </w:style>
  <w:style w:type="character" w:customStyle="1" w:styleId="HeaderChar">
    <w:name w:val="Header Char"/>
    <w:basedOn w:val="DefaultParagraphFont"/>
    <w:link w:val="Header"/>
    <w:uiPriority w:val="99"/>
    <w:rsid w:val="0080705F"/>
  </w:style>
  <w:style w:type="paragraph" w:styleId="Footer">
    <w:name w:val="footer"/>
    <w:basedOn w:val="Normal"/>
    <w:link w:val="FooterChar"/>
    <w:uiPriority w:val="99"/>
    <w:unhideWhenUsed/>
    <w:rsid w:val="0080705F"/>
    <w:pPr>
      <w:tabs>
        <w:tab w:val="center" w:pos="4513"/>
        <w:tab w:val="right" w:pos="9026"/>
      </w:tabs>
      <w:spacing w:line="240" w:lineRule="auto"/>
    </w:pPr>
  </w:style>
  <w:style w:type="character" w:customStyle="1" w:styleId="FooterChar">
    <w:name w:val="Footer Char"/>
    <w:basedOn w:val="DefaultParagraphFont"/>
    <w:link w:val="Footer"/>
    <w:uiPriority w:val="99"/>
    <w:rsid w:val="0080705F"/>
  </w:style>
  <w:style w:type="paragraph" w:styleId="TOC4">
    <w:name w:val="toc 4"/>
    <w:basedOn w:val="Normal"/>
    <w:next w:val="Normal"/>
    <w:autoRedefine/>
    <w:uiPriority w:val="39"/>
    <w:unhideWhenUsed/>
    <w:rsid w:val="00F64945"/>
    <w:pPr>
      <w:ind w:left="440"/>
    </w:pPr>
    <w:rPr>
      <w:rFonts w:asciiTheme="minorHAnsi" w:hAnsiTheme="minorHAnsi"/>
      <w:sz w:val="20"/>
      <w:szCs w:val="20"/>
    </w:rPr>
  </w:style>
  <w:style w:type="paragraph" w:styleId="TOC5">
    <w:name w:val="toc 5"/>
    <w:basedOn w:val="Normal"/>
    <w:next w:val="Normal"/>
    <w:autoRedefine/>
    <w:uiPriority w:val="39"/>
    <w:unhideWhenUsed/>
    <w:rsid w:val="00F64945"/>
    <w:pPr>
      <w:ind w:left="660"/>
    </w:pPr>
    <w:rPr>
      <w:rFonts w:asciiTheme="minorHAnsi" w:hAnsiTheme="minorHAnsi"/>
      <w:sz w:val="20"/>
      <w:szCs w:val="20"/>
    </w:rPr>
  </w:style>
  <w:style w:type="paragraph" w:styleId="TOC6">
    <w:name w:val="toc 6"/>
    <w:basedOn w:val="Normal"/>
    <w:next w:val="Normal"/>
    <w:autoRedefine/>
    <w:uiPriority w:val="39"/>
    <w:unhideWhenUsed/>
    <w:rsid w:val="00F64945"/>
    <w:pPr>
      <w:ind w:left="880"/>
    </w:pPr>
    <w:rPr>
      <w:rFonts w:asciiTheme="minorHAnsi" w:hAnsiTheme="minorHAnsi"/>
      <w:sz w:val="20"/>
      <w:szCs w:val="20"/>
    </w:rPr>
  </w:style>
  <w:style w:type="paragraph" w:styleId="TOC7">
    <w:name w:val="toc 7"/>
    <w:basedOn w:val="Normal"/>
    <w:next w:val="Normal"/>
    <w:autoRedefine/>
    <w:uiPriority w:val="39"/>
    <w:unhideWhenUsed/>
    <w:rsid w:val="00F64945"/>
    <w:pPr>
      <w:ind w:left="1100"/>
    </w:pPr>
    <w:rPr>
      <w:rFonts w:asciiTheme="minorHAnsi" w:hAnsiTheme="minorHAnsi"/>
      <w:sz w:val="20"/>
      <w:szCs w:val="20"/>
    </w:rPr>
  </w:style>
  <w:style w:type="paragraph" w:styleId="TOC8">
    <w:name w:val="toc 8"/>
    <w:basedOn w:val="Normal"/>
    <w:next w:val="Normal"/>
    <w:autoRedefine/>
    <w:uiPriority w:val="39"/>
    <w:unhideWhenUsed/>
    <w:rsid w:val="00F64945"/>
    <w:pPr>
      <w:ind w:left="1320"/>
    </w:pPr>
    <w:rPr>
      <w:rFonts w:asciiTheme="minorHAnsi" w:hAnsiTheme="minorHAnsi"/>
      <w:sz w:val="20"/>
      <w:szCs w:val="20"/>
    </w:rPr>
  </w:style>
  <w:style w:type="paragraph" w:styleId="TOC9">
    <w:name w:val="toc 9"/>
    <w:basedOn w:val="Normal"/>
    <w:next w:val="Normal"/>
    <w:autoRedefine/>
    <w:uiPriority w:val="39"/>
    <w:unhideWhenUsed/>
    <w:rsid w:val="00F64945"/>
    <w:pPr>
      <w:ind w:left="1540"/>
    </w:pPr>
    <w:rPr>
      <w:rFonts w:asciiTheme="minorHAnsi" w:hAnsiTheme="minorHAnsi"/>
      <w:sz w:val="20"/>
      <w:szCs w:val="20"/>
    </w:rPr>
  </w:style>
  <w:style w:type="paragraph" w:styleId="NoSpacing">
    <w:name w:val="No Spacing"/>
    <w:link w:val="NoSpacingChar"/>
    <w:uiPriority w:val="1"/>
    <w:qFormat/>
    <w:rsid w:val="00B1643E"/>
    <w:pPr>
      <w:spacing w:line="240" w:lineRule="auto"/>
    </w:pPr>
    <w:rPr>
      <w:rFonts w:asciiTheme="minorHAnsi" w:eastAsiaTheme="minorEastAsia" w:hAnsiTheme="minorHAnsi" w:cstheme="minorBidi"/>
      <w:lang w:val="en-US" w:eastAsia="zh-CN"/>
    </w:rPr>
  </w:style>
  <w:style w:type="character" w:customStyle="1" w:styleId="NoSpacingChar">
    <w:name w:val="No Spacing Char"/>
    <w:basedOn w:val="DefaultParagraphFont"/>
    <w:link w:val="NoSpacing"/>
    <w:uiPriority w:val="1"/>
    <w:rsid w:val="00B1643E"/>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0236">
      <w:bodyDiv w:val="1"/>
      <w:marLeft w:val="0"/>
      <w:marRight w:val="0"/>
      <w:marTop w:val="0"/>
      <w:marBottom w:val="0"/>
      <w:divBdr>
        <w:top w:val="none" w:sz="0" w:space="0" w:color="auto"/>
        <w:left w:val="none" w:sz="0" w:space="0" w:color="auto"/>
        <w:bottom w:val="none" w:sz="0" w:space="0" w:color="auto"/>
        <w:right w:val="none" w:sz="0" w:space="0" w:color="auto"/>
      </w:divBdr>
    </w:div>
    <w:div w:id="106537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hmusic.org.uk/charanga-vip-studio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rakemusic.org/blog/becky-morris-knight/sharing-from-our-zoom-conversation-about-making-online-music-delivery-accessib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maz.org.uk/connectresound/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work.youthmusic.org.uk/safeguarding-guidance-and-considerations-organisations-move-learning-onlin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hyperlink" Target="https://www.familyfun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AEFC-CA39-439A-8D8F-EBD7FA17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Cookson</dc:creator>
  <cp:lastModifiedBy>Adam Cookson</cp:lastModifiedBy>
  <cp:revision>3</cp:revision>
  <cp:lastPrinted>2021-05-26T10:56:00Z</cp:lastPrinted>
  <dcterms:created xsi:type="dcterms:W3CDTF">2021-05-26T10:56:00Z</dcterms:created>
  <dcterms:modified xsi:type="dcterms:W3CDTF">2021-05-26T10:56:00Z</dcterms:modified>
</cp:coreProperties>
</file>